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CD4E" w14:textId="690DA00F" w:rsidR="003F2C7C" w:rsidRDefault="003F2C7C" w:rsidP="00ED50C9">
      <w:pPr>
        <w:rPr>
          <w:b/>
          <w:bCs/>
          <w:sz w:val="52"/>
          <w:szCs w:val="52"/>
        </w:rPr>
      </w:pPr>
      <w:r>
        <w:rPr>
          <w:b/>
          <w:bCs/>
          <w:sz w:val="52"/>
          <w:szCs w:val="52"/>
        </w:rPr>
        <w:t xml:space="preserve">       </w:t>
      </w:r>
      <w:r>
        <w:rPr>
          <w:b/>
          <w:bCs/>
          <w:sz w:val="52"/>
          <w:szCs w:val="52"/>
        </w:rPr>
        <w:tab/>
      </w:r>
      <w:r>
        <w:rPr>
          <w:b/>
          <w:bCs/>
          <w:sz w:val="52"/>
          <w:szCs w:val="52"/>
        </w:rPr>
        <w:tab/>
      </w:r>
    </w:p>
    <w:p w14:paraId="59463822" w14:textId="3685A48F" w:rsidR="003F2C7C" w:rsidRPr="008E5C5D" w:rsidRDefault="00D97BA6" w:rsidP="008E5C5D">
      <w:pPr>
        <w:jc w:val="center"/>
        <w:rPr>
          <w:b/>
          <w:bCs/>
          <w:sz w:val="48"/>
          <w:szCs w:val="48"/>
        </w:rPr>
      </w:pPr>
      <w:r w:rsidRPr="008E5C5D">
        <w:rPr>
          <w:b/>
          <w:bCs/>
          <w:sz w:val="48"/>
          <w:szCs w:val="48"/>
        </w:rPr>
        <w:t>Accessibility Policy</w:t>
      </w:r>
      <w:r w:rsidR="00ED50C9" w:rsidRPr="008E5C5D">
        <w:rPr>
          <w:b/>
          <w:bCs/>
          <w:sz w:val="48"/>
          <w:szCs w:val="48"/>
        </w:rPr>
        <w:t xml:space="preserve"> </w:t>
      </w:r>
      <w:r w:rsidR="001343EA" w:rsidRPr="008E5C5D">
        <w:rPr>
          <w:b/>
          <w:bCs/>
          <w:sz w:val="48"/>
          <w:szCs w:val="48"/>
        </w:rPr>
        <w:t>2023-</w:t>
      </w:r>
      <w:r w:rsidR="00EB48BE">
        <w:rPr>
          <w:b/>
          <w:bCs/>
          <w:sz w:val="48"/>
          <w:szCs w:val="48"/>
        </w:rPr>
        <w:t>20</w:t>
      </w:r>
      <w:r w:rsidR="001343EA" w:rsidRPr="008E5C5D">
        <w:rPr>
          <w:b/>
          <w:bCs/>
          <w:sz w:val="48"/>
          <w:szCs w:val="48"/>
        </w:rPr>
        <w:t>25</w:t>
      </w:r>
    </w:p>
    <w:p w14:paraId="54776F05" w14:textId="7C13942E" w:rsidR="003F2C7C" w:rsidRDefault="008E5C5D" w:rsidP="003F2C7C">
      <w:pPr>
        <w:ind w:left="720" w:firstLine="720"/>
        <w:rPr>
          <w:b/>
          <w:bCs/>
          <w:sz w:val="52"/>
          <w:szCs w:val="52"/>
        </w:rPr>
      </w:pPr>
      <w:r w:rsidRPr="0094799F">
        <w:rPr>
          <w:b/>
          <w:bCs/>
          <w:noProof/>
          <w:sz w:val="44"/>
          <w:szCs w:val="44"/>
        </w:rPr>
        <w:drawing>
          <wp:anchor distT="0" distB="0" distL="114300" distR="114300" simplePos="0" relativeHeight="251658240" behindDoc="1" locked="0" layoutInCell="1" allowOverlap="1" wp14:anchorId="6EA7B4D1" wp14:editId="5061B776">
            <wp:simplePos x="0" y="0"/>
            <wp:positionH relativeFrom="column">
              <wp:posOffset>1798320</wp:posOffset>
            </wp:positionH>
            <wp:positionV relativeFrom="paragraph">
              <wp:posOffset>97790</wp:posOffset>
            </wp:positionV>
            <wp:extent cx="2194560" cy="766445"/>
            <wp:effectExtent l="0" t="0" r="2540" b="0"/>
            <wp:wrapTight wrapText="bothSides">
              <wp:wrapPolygon edited="0">
                <wp:start x="0" y="0"/>
                <wp:lineTo x="0" y="21117"/>
                <wp:lineTo x="21500" y="21117"/>
                <wp:lineTo x="2150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766445"/>
                    </a:xfrm>
                    <a:prstGeom prst="rect">
                      <a:avLst/>
                    </a:prstGeom>
                  </pic:spPr>
                </pic:pic>
              </a:graphicData>
            </a:graphic>
            <wp14:sizeRelH relativeFrom="page">
              <wp14:pctWidth>0</wp14:pctWidth>
            </wp14:sizeRelH>
            <wp14:sizeRelV relativeFrom="page">
              <wp14:pctHeight>0</wp14:pctHeight>
            </wp14:sizeRelV>
          </wp:anchor>
        </w:drawing>
      </w:r>
    </w:p>
    <w:p w14:paraId="5377A58F" w14:textId="77777777" w:rsidR="008E5C5D" w:rsidRDefault="008E5C5D" w:rsidP="003F2C7C"/>
    <w:p w14:paraId="0879D192" w14:textId="77777777" w:rsidR="008E5C5D" w:rsidRDefault="008E5C5D" w:rsidP="003F2C7C"/>
    <w:p w14:paraId="61FE18C7" w14:textId="77777777" w:rsidR="008E5C5D" w:rsidRDefault="008E5C5D" w:rsidP="008E5C5D">
      <w:pPr>
        <w:jc w:val="center"/>
      </w:pPr>
    </w:p>
    <w:p w14:paraId="217495C7" w14:textId="79C2E3E0" w:rsidR="008E5C5D" w:rsidRDefault="00000000" w:rsidP="008E5C5D">
      <w:pPr>
        <w:jc w:val="center"/>
      </w:pPr>
      <w:hyperlink r:id="rId8" w:history="1">
        <w:r w:rsidR="008E5C5D" w:rsidRPr="00CD2221">
          <w:rPr>
            <w:rStyle w:val="Hyperlink"/>
          </w:rPr>
          <w:t>prospectpark.co.nz</w:t>
        </w:r>
      </w:hyperlink>
    </w:p>
    <w:p w14:paraId="31167F70" w14:textId="04EAFA72" w:rsidR="00ED50C9" w:rsidRPr="00ED50C9" w:rsidRDefault="0094799F" w:rsidP="00CD2221">
      <w:pPr>
        <w:rPr>
          <w:b/>
          <w:bCs/>
          <w:sz w:val="52"/>
          <w:szCs w:val="52"/>
        </w:rPr>
      </w:pPr>
      <w:r w:rsidRPr="00ED50C9">
        <w:rPr>
          <w:b/>
          <w:bCs/>
          <w:sz w:val="52"/>
          <w:szCs w:val="52"/>
        </w:rPr>
        <w:t xml:space="preserve"> </w:t>
      </w:r>
      <w:r w:rsidR="00D97BA6" w:rsidRPr="00ED50C9">
        <w:rPr>
          <w:b/>
          <w:bCs/>
          <w:sz w:val="52"/>
          <w:szCs w:val="52"/>
        </w:rPr>
        <w:t xml:space="preserve"> </w:t>
      </w:r>
    </w:p>
    <w:p w14:paraId="43073616" w14:textId="77777777" w:rsidR="00ED50C9" w:rsidRDefault="00ED50C9" w:rsidP="0094799F">
      <w:pPr>
        <w:ind w:right="1202"/>
        <w:jc w:val="right"/>
      </w:pPr>
    </w:p>
    <w:p w14:paraId="2C8E56B0" w14:textId="526D925B" w:rsidR="00CF2897" w:rsidRPr="00CD2221" w:rsidRDefault="00CD2221" w:rsidP="00CF2897">
      <w:pPr>
        <w:rPr>
          <w:b/>
          <w:bCs/>
          <w:sz w:val="32"/>
          <w:szCs w:val="32"/>
        </w:rPr>
      </w:pPr>
      <w:r w:rsidRPr="00CD2221">
        <w:rPr>
          <w:b/>
          <w:bCs/>
          <w:sz w:val="32"/>
          <w:szCs w:val="32"/>
        </w:rPr>
        <w:t>Contents</w:t>
      </w:r>
    </w:p>
    <w:p w14:paraId="6F7ED5A3" w14:textId="39B823FD" w:rsidR="006A658A" w:rsidRDefault="006A658A">
      <w:pPr>
        <w:pStyle w:val="TOC1"/>
        <w:tabs>
          <w:tab w:val="right" w:leader="dot" w:pos="9010"/>
        </w:tabs>
        <w:rPr>
          <w:rFonts w:asciiTheme="minorHAnsi" w:eastAsiaTheme="minorEastAsia" w:hAnsiTheme="minorHAnsi"/>
          <w:noProof/>
          <w:lang w:val="en-NZ" w:eastAsia="en-GB"/>
        </w:rPr>
      </w:pPr>
      <w:r>
        <w:rPr>
          <w:b/>
          <w:bCs/>
        </w:rPr>
        <w:fldChar w:fldCharType="begin"/>
      </w:r>
      <w:r>
        <w:rPr>
          <w:b/>
          <w:bCs/>
        </w:rPr>
        <w:instrText xml:space="preserve"> TOC \o "1-3" \h \z \u </w:instrText>
      </w:r>
      <w:r>
        <w:rPr>
          <w:b/>
          <w:bCs/>
        </w:rPr>
        <w:fldChar w:fldCharType="separate"/>
      </w:r>
      <w:hyperlink w:anchor="_Toc126934731" w:history="1">
        <w:r w:rsidRPr="00033804">
          <w:rPr>
            <w:rStyle w:val="Hyperlink"/>
            <w:noProof/>
          </w:rPr>
          <w:t>Prospect Park Productions’ Accessibility Policy 2023-2025</w:t>
        </w:r>
        <w:r>
          <w:rPr>
            <w:noProof/>
            <w:webHidden/>
          </w:rPr>
          <w:tab/>
        </w:r>
        <w:r>
          <w:rPr>
            <w:noProof/>
            <w:webHidden/>
          </w:rPr>
          <w:fldChar w:fldCharType="begin"/>
        </w:r>
        <w:r>
          <w:rPr>
            <w:noProof/>
            <w:webHidden/>
          </w:rPr>
          <w:instrText xml:space="preserve"> PAGEREF _Toc126934731 \h </w:instrText>
        </w:r>
        <w:r>
          <w:rPr>
            <w:noProof/>
            <w:webHidden/>
          </w:rPr>
        </w:r>
        <w:r>
          <w:rPr>
            <w:noProof/>
            <w:webHidden/>
          </w:rPr>
          <w:fldChar w:fldCharType="separate"/>
        </w:r>
        <w:r>
          <w:rPr>
            <w:noProof/>
            <w:webHidden/>
          </w:rPr>
          <w:t>2</w:t>
        </w:r>
        <w:r>
          <w:rPr>
            <w:noProof/>
            <w:webHidden/>
          </w:rPr>
          <w:fldChar w:fldCharType="end"/>
        </w:r>
      </w:hyperlink>
    </w:p>
    <w:p w14:paraId="6FD6CC9E" w14:textId="70554E44" w:rsidR="006A658A" w:rsidRDefault="006A658A">
      <w:pPr>
        <w:pStyle w:val="TOC2"/>
        <w:tabs>
          <w:tab w:val="right" w:leader="dot" w:pos="9010"/>
        </w:tabs>
        <w:rPr>
          <w:rFonts w:asciiTheme="minorHAnsi" w:eastAsiaTheme="minorEastAsia" w:hAnsiTheme="minorHAnsi"/>
          <w:noProof/>
          <w:lang w:val="en-NZ" w:eastAsia="en-GB"/>
        </w:rPr>
      </w:pPr>
      <w:hyperlink w:anchor="_Toc126934732" w:history="1">
        <w:r w:rsidRPr="00033804">
          <w:rPr>
            <w:rStyle w:val="Hyperlink"/>
            <w:noProof/>
          </w:rPr>
          <w:t>Overarching Policy Statement and Vision</w:t>
        </w:r>
        <w:r>
          <w:rPr>
            <w:noProof/>
            <w:webHidden/>
          </w:rPr>
          <w:tab/>
        </w:r>
        <w:r>
          <w:rPr>
            <w:noProof/>
            <w:webHidden/>
          </w:rPr>
          <w:fldChar w:fldCharType="begin"/>
        </w:r>
        <w:r>
          <w:rPr>
            <w:noProof/>
            <w:webHidden/>
          </w:rPr>
          <w:instrText xml:space="preserve"> PAGEREF _Toc126934732 \h </w:instrText>
        </w:r>
        <w:r>
          <w:rPr>
            <w:noProof/>
            <w:webHidden/>
          </w:rPr>
        </w:r>
        <w:r>
          <w:rPr>
            <w:noProof/>
            <w:webHidden/>
          </w:rPr>
          <w:fldChar w:fldCharType="separate"/>
        </w:r>
        <w:r>
          <w:rPr>
            <w:noProof/>
            <w:webHidden/>
          </w:rPr>
          <w:t>2</w:t>
        </w:r>
        <w:r>
          <w:rPr>
            <w:noProof/>
            <w:webHidden/>
          </w:rPr>
          <w:fldChar w:fldCharType="end"/>
        </w:r>
      </w:hyperlink>
    </w:p>
    <w:p w14:paraId="1E74B3B9" w14:textId="7564DF01" w:rsidR="006A658A" w:rsidRDefault="006A658A">
      <w:pPr>
        <w:pStyle w:val="TOC3"/>
        <w:tabs>
          <w:tab w:val="right" w:leader="dot" w:pos="9010"/>
        </w:tabs>
        <w:rPr>
          <w:rFonts w:asciiTheme="minorHAnsi" w:eastAsiaTheme="minorEastAsia" w:hAnsiTheme="minorHAnsi"/>
          <w:noProof/>
          <w:lang w:val="en-NZ" w:eastAsia="en-GB"/>
        </w:rPr>
      </w:pPr>
      <w:hyperlink w:anchor="_Toc126934733" w:history="1">
        <w:r w:rsidRPr="00033804">
          <w:rPr>
            <w:rStyle w:val="Hyperlink"/>
            <w:noProof/>
          </w:rPr>
          <w:t>Who is this Policy for?</w:t>
        </w:r>
        <w:r>
          <w:rPr>
            <w:noProof/>
            <w:webHidden/>
          </w:rPr>
          <w:tab/>
        </w:r>
        <w:r>
          <w:rPr>
            <w:noProof/>
            <w:webHidden/>
          </w:rPr>
          <w:fldChar w:fldCharType="begin"/>
        </w:r>
        <w:r>
          <w:rPr>
            <w:noProof/>
            <w:webHidden/>
          </w:rPr>
          <w:instrText xml:space="preserve"> PAGEREF _Toc126934733 \h </w:instrText>
        </w:r>
        <w:r>
          <w:rPr>
            <w:noProof/>
            <w:webHidden/>
          </w:rPr>
        </w:r>
        <w:r>
          <w:rPr>
            <w:noProof/>
            <w:webHidden/>
          </w:rPr>
          <w:fldChar w:fldCharType="separate"/>
        </w:r>
        <w:r>
          <w:rPr>
            <w:noProof/>
            <w:webHidden/>
          </w:rPr>
          <w:t>2</w:t>
        </w:r>
        <w:r>
          <w:rPr>
            <w:noProof/>
            <w:webHidden/>
          </w:rPr>
          <w:fldChar w:fldCharType="end"/>
        </w:r>
      </w:hyperlink>
    </w:p>
    <w:p w14:paraId="7E1F9074" w14:textId="0EC456C1" w:rsidR="006A658A" w:rsidRDefault="006A658A">
      <w:pPr>
        <w:pStyle w:val="TOC3"/>
        <w:tabs>
          <w:tab w:val="right" w:leader="dot" w:pos="9010"/>
        </w:tabs>
        <w:rPr>
          <w:rFonts w:asciiTheme="minorHAnsi" w:eastAsiaTheme="minorEastAsia" w:hAnsiTheme="minorHAnsi"/>
          <w:noProof/>
          <w:lang w:val="en-NZ" w:eastAsia="en-GB"/>
        </w:rPr>
      </w:pPr>
      <w:hyperlink w:anchor="_Toc126934734" w:history="1">
        <w:r w:rsidRPr="00033804">
          <w:rPr>
            <w:rStyle w:val="Hyperlink"/>
            <w:noProof/>
          </w:rPr>
          <w:t>Policy Context</w:t>
        </w:r>
        <w:r>
          <w:rPr>
            <w:noProof/>
            <w:webHidden/>
          </w:rPr>
          <w:tab/>
        </w:r>
        <w:r>
          <w:rPr>
            <w:noProof/>
            <w:webHidden/>
          </w:rPr>
          <w:fldChar w:fldCharType="begin"/>
        </w:r>
        <w:r>
          <w:rPr>
            <w:noProof/>
            <w:webHidden/>
          </w:rPr>
          <w:instrText xml:space="preserve"> PAGEREF _Toc126934734 \h </w:instrText>
        </w:r>
        <w:r>
          <w:rPr>
            <w:noProof/>
            <w:webHidden/>
          </w:rPr>
        </w:r>
        <w:r>
          <w:rPr>
            <w:noProof/>
            <w:webHidden/>
          </w:rPr>
          <w:fldChar w:fldCharType="separate"/>
        </w:r>
        <w:r>
          <w:rPr>
            <w:noProof/>
            <w:webHidden/>
          </w:rPr>
          <w:t>3</w:t>
        </w:r>
        <w:r>
          <w:rPr>
            <w:noProof/>
            <w:webHidden/>
          </w:rPr>
          <w:fldChar w:fldCharType="end"/>
        </w:r>
      </w:hyperlink>
    </w:p>
    <w:p w14:paraId="1BF5A096" w14:textId="5A074931" w:rsidR="006A658A" w:rsidRDefault="006A658A">
      <w:pPr>
        <w:pStyle w:val="TOC3"/>
        <w:tabs>
          <w:tab w:val="right" w:leader="dot" w:pos="9010"/>
        </w:tabs>
        <w:rPr>
          <w:rFonts w:asciiTheme="minorHAnsi" w:eastAsiaTheme="minorEastAsia" w:hAnsiTheme="minorHAnsi"/>
          <w:noProof/>
          <w:lang w:val="en-NZ" w:eastAsia="en-GB"/>
        </w:rPr>
      </w:pPr>
      <w:hyperlink w:anchor="_Toc126934735" w:history="1">
        <w:r w:rsidRPr="00033804">
          <w:rPr>
            <w:rStyle w:val="Hyperlink"/>
            <w:noProof/>
          </w:rPr>
          <w:t>Acknowledgements</w:t>
        </w:r>
        <w:r>
          <w:rPr>
            <w:noProof/>
            <w:webHidden/>
          </w:rPr>
          <w:tab/>
        </w:r>
        <w:r>
          <w:rPr>
            <w:noProof/>
            <w:webHidden/>
          </w:rPr>
          <w:fldChar w:fldCharType="begin"/>
        </w:r>
        <w:r>
          <w:rPr>
            <w:noProof/>
            <w:webHidden/>
          </w:rPr>
          <w:instrText xml:space="preserve"> PAGEREF _Toc126934735 \h </w:instrText>
        </w:r>
        <w:r>
          <w:rPr>
            <w:noProof/>
            <w:webHidden/>
          </w:rPr>
        </w:r>
        <w:r>
          <w:rPr>
            <w:noProof/>
            <w:webHidden/>
          </w:rPr>
          <w:fldChar w:fldCharType="separate"/>
        </w:r>
        <w:r>
          <w:rPr>
            <w:noProof/>
            <w:webHidden/>
          </w:rPr>
          <w:t>3</w:t>
        </w:r>
        <w:r>
          <w:rPr>
            <w:noProof/>
            <w:webHidden/>
          </w:rPr>
          <w:fldChar w:fldCharType="end"/>
        </w:r>
      </w:hyperlink>
    </w:p>
    <w:p w14:paraId="391E6A71" w14:textId="68A4B757" w:rsidR="006A658A" w:rsidRDefault="006A658A">
      <w:pPr>
        <w:pStyle w:val="TOC2"/>
        <w:tabs>
          <w:tab w:val="right" w:leader="dot" w:pos="9010"/>
        </w:tabs>
        <w:rPr>
          <w:rFonts w:asciiTheme="minorHAnsi" w:eastAsiaTheme="minorEastAsia" w:hAnsiTheme="minorHAnsi"/>
          <w:noProof/>
          <w:lang w:val="en-NZ" w:eastAsia="en-GB"/>
        </w:rPr>
      </w:pPr>
      <w:hyperlink w:anchor="_Toc126934736" w:history="1">
        <w:r w:rsidRPr="00033804">
          <w:rPr>
            <w:rStyle w:val="Hyperlink"/>
            <w:noProof/>
            <w:lang w:val="en-NZ"/>
          </w:rPr>
          <w:t>Action Plan Focus Areas</w:t>
        </w:r>
        <w:r>
          <w:rPr>
            <w:noProof/>
            <w:webHidden/>
          </w:rPr>
          <w:tab/>
        </w:r>
        <w:r>
          <w:rPr>
            <w:noProof/>
            <w:webHidden/>
          </w:rPr>
          <w:fldChar w:fldCharType="begin"/>
        </w:r>
        <w:r>
          <w:rPr>
            <w:noProof/>
            <w:webHidden/>
          </w:rPr>
          <w:instrText xml:space="preserve"> PAGEREF _Toc126934736 \h </w:instrText>
        </w:r>
        <w:r>
          <w:rPr>
            <w:noProof/>
            <w:webHidden/>
          </w:rPr>
        </w:r>
        <w:r>
          <w:rPr>
            <w:noProof/>
            <w:webHidden/>
          </w:rPr>
          <w:fldChar w:fldCharType="separate"/>
        </w:r>
        <w:r>
          <w:rPr>
            <w:noProof/>
            <w:webHidden/>
          </w:rPr>
          <w:t>4</w:t>
        </w:r>
        <w:r>
          <w:rPr>
            <w:noProof/>
            <w:webHidden/>
          </w:rPr>
          <w:fldChar w:fldCharType="end"/>
        </w:r>
      </w:hyperlink>
    </w:p>
    <w:p w14:paraId="5EE6439F" w14:textId="14F0CBA7" w:rsidR="006A658A" w:rsidRDefault="006A658A">
      <w:pPr>
        <w:pStyle w:val="TOC2"/>
        <w:tabs>
          <w:tab w:val="right" w:leader="dot" w:pos="9010"/>
        </w:tabs>
        <w:rPr>
          <w:rFonts w:asciiTheme="minorHAnsi" w:eastAsiaTheme="minorEastAsia" w:hAnsiTheme="minorHAnsi"/>
          <w:noProof/>
          <w:lang w:val="en-NZ" w:eastAsia="en-GB"/>
        </w:rPr>
      </w:pPr>
      <w:hyperlink w:anchor="_Toc126934737" w:history="1">
        <w:r w:rsidRPr="00033804">
          <w:rPr>
            <w:rStyle w:val="Hyperlink"/>
            <w:noProof/>
          </w:rPr>
          <w:t>Guiding Strategies and Principles</w:t>
        </w:r>
        <w:r>
          <w:rPr>
            <w:noProof/>
            <w:webHidden/>
          </w:rPr>
          <w:tab/>
        </w:r>
        <w:r>
          <w:rPr>
            <w:noProof/>
            <w:webHidden/>
          </w:rPr>
          <w:fldChar w:fldCharType="begin"/>
        </w:r>
        <w:r>
          <w:rPr>
            <w:noProof/>
            <w:webHidden/>
          </w:rPr>
          <w:instrText xml:space="preserve"> PAGEREF _Toc126934737 \h </w:instrText>
        </w:r>
        <w:r>
          <w:rPr>
            <w:noProof/>
            <w:webHidden/>
          </w:rPr>
        </w:r>
        <w:r>
          <w:rPr>
            <w:noProof/>
            <w:webHidden/>
          </w:rPr>
          <w:fldChar w:fldCharType="separate"/>
        </w:r>
        <w:r>
          <w:rPr>
            <w:noProof/>
            <w:webHidden/>
          </w:rPr>
          <w:t>5</w:t>
        </w:r>
        <w:r>
          <w:rPr>
            <w:noProof/>
            <w:webHidden/>
          </w:rPr>
          <w:fldChar w:fldCharType="end"/>
        </w:r>
      </w:hyperlink>
    </w:p>
    <w:p w14:paraId="42BD0B0B" w14:textId="59F66135" w:rsidR="006A658A" w:rsidRDefault="006A658A">
      <w:pPr>
        <w:pStyle w:val="TOC3"/>
        <w:tabs>
          <w:tab w:val="right" w:leader="dot" w:pos="9010"/>
        </w:tabs>
        <w:rPr>
          <w:rFonts w:asciiTheme="minorHAnsi" w:eastAsiaTheme="minorEastAsia" w:hAnsiTheme="minorHAnsi"/>
          <w:noProof/>
          <w:lang w:val="en-NZ" w:eastAsia="en-GB"/>
        </w:rPr>
      </w:pPr>
      <w:hyperlink w:anchor="_Toc126934738" w:history="1">
        <w:r w:rsidRPr="00033804">
          <w:rPr>
            <w:rStyle w:val="Hyperlink"/>
            <w:noProof/>
          </w:rPr>
          <w:t>NZ Disability Strategy 2016-2026</w:t>
        </w:r>
        <w:r>
          <w:rPr>
            <w:noProof/>
            <w:webHidden/>
          </w:rPr>
          <w:tab/>
        </w:r>
        <w:r>
          <w:rPr>
            <w:noProof/>
            <w:webHidden/>
          </w:rPr>
          <w:fldChar w:fldCharType="begin"/>
        </w:r>
        <w:r>
          <w:rPr>
            <w:noProof/>
            <w:webHidden/>
          </w:rPr>
          <w:instrText xml:space="preserve"> PAGEREF _Toc126934738 \h </w:instrText>
        </w:r>
        <w:r>
          <w:rPr>
            <w:noProof/>
            <w:webHidden/>
          </w:rPr>
        </w:r>
        <w:r>
          <w:rPr>
            <w:noProof/>
            <w:webHidden/>
          </w:rPr>
          <w:fldChar w:fldCharType="separate"/>
        </w:r>
        <w:r>
          <w:rPr>
            <w:noProof/>
            <w:webHidden/>
          </w:rPr>
          <w:t>5</w:t>
        </w:r>
        <w:r>
          <w:rPr>
            <w:noProof/>
            <w:webHidden/>
          </w:rPr>
          <w:fldChar w:fldCharType="end"/>
        </w:r>
      </w:hyperlink>
    </w:p>
    <w:p w14:paraId="695D8E7E" w14:textId="5F9F2C83" w:rsidR="006A658A" w:rsidRDefault="006A658A">
      <w:pPr>
        <w:pStyle w:val="TOC3"/>
        <w:tabs>
          <w:tab w:val="right" w:leader="dot" w:pos="9010"/>
        </w:tabs>
        <w:rPr>
          <w:rFonts w:asciiTheme="minorHAnsi" w:eastAsiaTheme="minorEastAsia" w:hAnsiTheme="minorHAnsi"/>
          <w:noProof/>
          <w:lang w:val="en-NZ" w:eastAsia="en-GB"/>
        </w:rPr>
      </w:pPr>
      <w:hyperlink w:anchor="_Toc126934739" w:history="1">
        <w:r w:rsidRPr="00033804">
          <w:rPr>
            <w:rStyle w:val="Hyperlink"/>
            <w:noProof/>
          </w:rPr>
          <w:t>NZ Disability Strategy &amp; Te Tiriti o Waitangi</w:t>
        </w:r>
        <w:r>
          <w:rPr>
            <w:noProof/>
            <w:webHidden/>
          </w:rPr>
          <w:tab/>
        </w:r>
        <w:r>
          <w:rPr>
            <w:noProof/>
            <w:webHidden/>
          </w:rPr>
          <w:fldChar w:fldCharType="begin"/>
        </w:r>
        <w:r>
          <w:rPr>
            <w:noProof/>
            <w:webHidden/>
          </w:rPr>
          <w:instrText xml:space="preserve"> PAGEREF _Toc126934739 \h </w:instrText>
        </w:r>
        <w:r>
          <w:rPr>
            <w:noProof/>
            <w:webHidden/>
          </w:rPr>
        </w:r>
        <w:r>
          <w:rPr>
            <w:noProof/>
            <w:webHidden/>
          </w:rPr>
          <w:fldChar w:fldCharType="separate"/>
        </w:r>
        <w:r>
          <w:rPr>
            <w:noProof/>
            <w:webHidden/>
          </w:rPr>
          <w:t>5</w:t>
        </w:r>
        <w:r>
          <w:rPr>
            <w:noProof/>
            <w:webHidden/>
          </w:rPr>
          <w:fldChar w:fldCharType="end"/>
        </w:r>
      </w:hyperlink>
    </w:p>
    <w:p w14:paraId="45306E63" w14:textId="5055F358" w:rsidR="006A658A" w:rsidRDefault="006A658A">
      <w:pPr>
        <w:pStyle w:val="TOC3"/>
        <w:tabs>
          <w:tab w:val="right" w:leader="dot" w:pos="9010"/>
        </w:tabs>
        <w:rPr>
          <w:rFonts w:asciiTheme="minorHAnsi" w:eastAsiaTheme="minorEastAsia" w:hAnsiTheme="minorHAnsi"/>
          <w:noProof/>
          <w:lang w:val="en-NZ" w:eastAsia="en-GB"/>
        </w:rPr>
      </w:pPr>
      <w:hyperlink w:anchor="_Toc126934740" w:history="1">
        <w:r w:rsidRPr="00033804">
          <w:rPr>
            <w:rStyle w:val="Hyperlink"/>
            <w:noProof/>
            <w:lang w:val="en-NZ"/>
          </w:rPr>
          <w:t xml:space="preserve">Principles of the United Nations </w:t>
        </w:r>
        <w:r w:rsidRPr="00033804">
          <w:rPr>
            <w:rStyle w:val="Hyperlink"/>
            <w:noProof/>
          </w:rPr>
          <w:t>Convention</w:t>
        </w:r>
        <w:r w:rsidRPr="00033804">
          <w:rPr>
            <w:rStyle w:val="Hyperlink"/>
            <w:noProof/>
            <w:lang w:val="en-NZ"/>
          </w:rPr>
          <w:t xml:space="preserve"> on the Rights of Persons with Disabilities (UNCRPD)</w:t>
        </w:r>
        <w:r>
          <w:rPr>
            <w:noProof/>
            <w:webHidden/>
          </w:rPr>
          <w:tab/>
        </w:r>
        <w:r>
          <w:rPr>
            <w:noProof/>
            <w:webHidden/>
          </w:rPr>
          <w:fldChar w:fldCharType="begin"/>
        </w:r>
        <w:r>
          <w:rPr>
            <w:noProof/>
            <w:webHidden/>
          </w:rPr>
          <w:instrText xml:space="preserve"> PAGEREF _Toc126934740 \h </w:instrText>
        </w:r>
        <w:r>
          <w:rPr>
            <w:noProof/>
            <w:webHidden/>
          </w:rPr>
        </w:r>
        <w:r>
          <w:rPr>
            <w:noProof/>
            <w:webHidden/>
          </w:rPr>
          <w:fldChar w:fldCharType="separate"/>
        </w:r>
        <w:r>
          <w:rPr>
            <w:noProof/>
            <w:webHidden/>
          </w:rPr>
          <w:t>5</w:t>
        </w:r>
        <w:r>
          <w:rPr>
            <w:noProof/>
            <w:webHidden/>
          </w:rPr>
          <w:fldChar w:fldCharType="end"/>
        </w:r>
      </w:hyperlink>
    </w:p>
    <w:p w14:paraId="6E07940B" w14:textId="394E9BB3" w:rsidR="006A658A" w:rsidRDefault="006A658A">
      <w:pPr>
        <w:pStyle w:val="TOC2"/>
        <w:tabs>
          <w:tab w:val="right" w:leader="dot" w:pos="9010"/>
        </w:tabs>
        <w:rPr>
          <w:rFonts w:asciiTheme="minorHAnsi" w:eastAsiaTheme="minorEastAsia" w:hAnsiTheme="minorHAnsi"/>
          <w:noProof/>
          <w:lang w:val="en-NZ" w:eastAsia="en-GB"/>
        </w:rPr>
      </w:pPr>
      <w:hyperlink w:anchor="_Toc126934741" w:history="1">
        <w:r w:rsidRPr="00033804">
          <w:rPr>
            <w:rStyle w:val="Hyperlink"/>
            <w:noProof/>
          </w:rPr>
          <w:t>Glossary and Key Definitions</w:t>
        </w:r>
        <w:r>
          <w:rPr>
            <w:noProof/>
            <w:webHidden/>
          </w:rPr>
          <w:tab/>
        </w:r>
        <w:r>
          <w:rPr>
            <w:noProof/>
            <w:webHidden/>
          </w:rPr>
          <w:fldChar w:fldCharType="begin"/>
        </w:r>
        <w:r>
          <w:rPr>
            <w:noProof/>
            <w:webHidden/>
          </w:rPr>
          <w:instrText xml:space="preserve"> PAGEREF _Toc126934741 \h </w:instrText>
        </w:r>
        <w:r>
          <w:rPr>
            <w:noProof/>
            <w:webHidden/>
          </w:rPr>
        </w:r>
        <w:r>
          <w:rPr>
            <w:noProof/>
            <w:webHidden/>
          </w:rPr>
          <w:fldChar w:fldCharType="separate"/>
        </w:r>
        <w:r>
          <w:rPr>
            <w:noProof/>
            <w:webHidden/>
          </w:rPr>
          <w:t>6</w:t>
        </w:r>
        <w:r>
          <w:rPr>
            <w:noProof/>
            <w:webHidden/>
          </w:rPr>
          <w:fldChar w:fldCharType="end"/>
        </w:r>
      </w:hyperlink>
    </w:p>
    <w:p w14:paraId="011C5CBF" w14:textId="33C76029" w:rsidR="003D6F4C" w:rsidRDefault="006A658A">
      <w:pPr>
        <w:rPr>
          <w:b/>
          <w:bCs/>
        </w:rPr>
      </w:pPr>
      <w:r>
        <w:rPr>
          <w:b/>
          <w:bCs/>
        </w:rPr>
        <w:fldChar w:fldCharType="end"/>
      </w:r>
    </w:p>
    <w:p w14:paraId="6787781D" w14:textId="77E050C7" w:rsidR="0094799F" w:rsidRPr="0094799F" w:rsidRDefault="00CF2897" w:rsidP="0094799F">
      <w:bookmarkStart w:id="0" w:name="_Toc117699113"/>
      <w:r>
        <w:br w:type="page"/>
      </w:r>
    </w:p>
    <w:p w14:paraId="2F671913" w14:textId="67AC6E34" w:rsidR="00C22087" w:rsidRDefault="00CF2897" w:rsidP="00990F7B">
      <w:pPr>
        <w:pStyle w:val="Heading1"/>
      </w:pPr>
      <w:bookmarkStart w:id="1" w:name="_Toc121934126"/>
      <w:bookmarkStart w:id="2" w:name="_Toc125380821"/>
      <w:bookmarkStart w:id="3" w:name="_Toc126165778"/>
      <w:bookmarkStart w:id="4" w:name="_Toc122532831"/>
      <w:bookmarkStart w:id="5" w:name="_Toc126932442"/>
      <w:bookmarkStart w:id="6" w:name="_Toc126934731"/>
      <w:r>
        <w:lastRenderedPageBreak/>
        <w:t xml:space="preserve">Prospect Park Productions’ Accessibility </w:t>
      </w:r>
      <w:r w:rsidR="003D6F4C" w:rsidRPr="00373A8F">
        <w:t>Policy</w:t>
      </w:r>
      <w:r>
        <w:t xml:space="preserve"> 2023-</w:t>
      </w:r>
      <w:r w:rsidR="00101241">
        <w:t>20</w:t>
      </w:r>
      <w:r>
        <w:t>25</w:t>
      </w:r>
      <w:bookmarkEnd w:id="1"/>
      <w:bookmarkEnd w:id="2"/>
      <w:bookmarkEnd w:id="3"/>
      <w:bookmarkEnd w:id="5"/>
      <w:bookmarkEnd w:id="6"/>
      <w:r w:rsidR="003D6F4C">
        <w:t xml:space="preserve"> </w:t>
      </w:r>
      <w:bookmarkEnd w:id="4"/>
    </w:p>
    <w:p w14:paraId="0B4F2FEC" w14:textId="10E50BA9" w:rsidR="003D6F4C" w:rsidRDefault="00C22087" w:rsidP="00990F7B">
      <w:pPr>
        <w:pStyle w:val="Heading2"/>
      </w:pPr>
      <w:bookmarkStart w:id="7" w:name="_Toc125380822"/>
      <w:bookmarkStart w:id="8" w:name="_Toc126165779"/>
      <w:bookmarkStart w:id="9" w:name="_Toc121934127"/>
      <w:bookmarkStart w:id="10" w:name="_Toc122532832"/>
      <w:bookmarkStart w:id="11" w:name="_Toc126932443"/>
      <w:bookmarkStart w:id="12" w:name="_Toc126934732"/>
      <w:r>
        <w:t>O</w:t>
      </w:r>
      <w:r w:rsidR="003D6F4C">
        <w:t>vera</w:t>
      </w:r>
      <w:r w:rsidR="00F44C91">
        <w:t>rching</w:t>
      </w:r>
      <w:r w:rsidR="003D6F4C">
        <w:t xml:space="preserve"> </w:t>
      </w:r>
      <w:r>
        <w:t>Policy S</w:t>
      </w:r>
      <w:r w:rsidR="003D6F4C">
        <w:t>tatement</w:t>
      </w:r>
      <w:r w:rsidR="00F44C91">
        <w:t xml:space="preserve"> and Vision</w:t>
      </w:r>
      <w:bookmarkEnd w:id="7"/>
      <w:bookmarkEnd w:id="8"/>
      <w:bookmarkEnd w:id="11"/>
      <w:bookmarkEnd w:id="12"/>
      <w:r w:rsidR="003D6F4C">
        <w:t xml:space="preserve"> </w:t>
      </w:r>
      <w:bookmarkEnd w:id="9"/>
      <w:bookmarkEnd w:id="10"/>
    </w:p>
    <w:p w14:paraId="2D445B36" w14:textId="3657F558" w:rsidR="00990F7B" w:rsidRDefault="00C22087" w:rsidP="00990F7B">
      <w:r>
        <w:t xml:space="preserve">Prospect Park Productions believes that </w:t>
      </w:r>
      <w:r w:rsidR="00990F7B">
        <w:t>equitable</w:t>
      </w:r>
      <w:r>
        <w:t xml:space="preserve"> access </w:t>
      </w:r>
      <w:r w:rsidR="00990F7B">
        <w:t xml:space="preserve">to </w:t>
      </w:r>
      <w:r>
        <w:t xml:space="preserve">the arts is a human right for both audience and </w:t>
      </w:r>
      <w:r w:rsidR="00990F7B">
        <w:t>practitioners</w:t>
      </w:r>
      <w:r w:rsidR="00AB3E81">
        <w:t xml:space="preserve"> regardless of disability status, ethnicity, </w:t>
      </w:r>
      <w:r w:rsidR="005507E4">
        <w:t xml:space="preserve">gender, sexuality, religion, </w:t>
      </w:r>
      <w:r w:rsidR="00AB3E81">
        <w:t>or income</w:t>
      </w:r>
      <w:r>
        <w:t xml:space="preserve">. </w:t>
      </w:r>
    </w:p>
    <w:p w14:paraId="5AD55862" w14:textId="1DD67520" w:rsidR="004D08A8" w:rsidRDefault="004D08A8" w:rsidP="00990F7B"/>
    <w:p w14:paraId="6EFA38DC" w14:textId="77777777" w:rsidR="004D08A8" w:rsidRPr="004D08A8" w:rsidRDefault="004D08A8" w:rsidP="00D45693">
      <w:r w:rsidRPr="004D08A8">
        <w:t>Prospect Park Productions recognises:</w:t>
      </w:r>
    </w:p>
    <w:p w14:paraId="4204BA8C" w14:textId="67CA6A33" w:rsidR="004D08A8" w:rsidRDefault="004D08A8">
      <w:pPr>
        <w:pStyle w:val="ListParagraph"/>
        <w:numPr>
          <w:ilvl w:val="0"/>
          <w:numId w:val="5"/>
        </w:numPr>
      </w:pPr>
      <w:r>
        <w:t>The principles outlined in the NZ Disability Strategy 2016-2026</w:t>
      </w:r>
    </w:p>
    <w:p w14:paraId="6043C438" w14:textId="41C63DC9" w:rsidR="004D08A8" w:rsidRDefault="00F44C91">
      <w:pPr>
        <w:pStyle w:val="Bullet1"/>
        <w:numPr>
          <w:ilvl w:val="0"/>
          <w:numId w:val="5"/>
        </w:numPr>
        <w:suppressAutoHyphens/>
        <w:autoSpaceDE w:val="0"/>
        <w:autoSpaceDN w:val="0"/>
        <w:adjustRightInd w:val="0"/>
        <w:textAlignment w:val="center"/>
      </w:pPr>
      <w:r>
        <w:t>The p</w:t>
      </w:r>
      <w:r w:rsidR="004D08A8">
        <w:t xml:space="preserve">rinciples of </w:t>
      </w:r>
      <w:proofErr w:type="spellStart"/>
      <w:r w:rsidR="004D08A8">
        <w:t>Te</w:t>
      </w:r>
      <w:proofErr w:type="spellEnd"/>
      <w:r w:rsidR="004D08A8">
        <w:t xml:space="preserve"> </w:t>
      </w:r>
      <w:proofErr w:type="spellStart"/>
      <w:r w:rsidR="004D08A8" w:rsidRPr="008F2393">
        <w:t>Tiriti</w:t>
      </w:r>
      <w:proofErr w:type="spellEnd"/>
      <w:r w:rsidR="004D08A8">
        <w:t xml:space="preserve"> o Waitangi </w:t>
      </w:r>
    </w:p>
    <w:p w14:paraId="5B59206F" w14:textId="3779C145" w:rsidR="004D08A8" w:rsidRDefault="00F44C91">
      <w:pPr>
        <w:pStyle w:val="Bullet1"/>
        <w:numPr>
          <w:ilvl w:val="0"/>
          <w:numId w:val="5"/>
        </w:numPr>
        <w:suppressAutoHyphens/>
        <w:autoSpaceDE w:val="0"/>
        <w:autoSpaceDN w:val="0"/>
        <w:adjustRightInd w:val="0"/>
        <w:textAlignment w:val="center"/>
      </w:pPr>
      <w:r>
        <w:t>The p</w:t>
      </w:r>
      <w:r w:rsidR="004D08A8">
        <w:t xml:space="preserve">rinciples of the Convention on the Rights of Persons with Disabilities </w:t>
      </w:r>
    </w:p>
    <w:p w14:paraId="106438C0" w14:textId="1437D7CC" w:rsidR="004D08A8" w:rsidRPr="004D08A8" w:rsidRDefault="00F44C91">
      <w:pPr>
        <w:pStyle w:val="ListParagraph"/>
        <w:numPr>
          <w:ilvl w:val="0"/>
          <w:numId w:val="5"/>
        </w:numPr>
      </w:pPr>
      <w:r>
        <w:t>That e</w:t>
      </w:r>
      <w:r w:rsidR="004D08A8" w:rsidRPr="004D08A8">
        <w:t xml:space="preserve">veryone – including d/Deaf, disabled, and </w:t>
      </w:r>
      <w:r w:rsidR="005507E4">
        <w:t>T</w:t>
      </w:r>
      <w:r w:rsidR="004D08A8" w:rsidRPr="004D08A8">
        <w:t xml:space="preserve">āngata </w:t>
      </w:r>
      <w:r w:rsidR="005507E4">
        <w:t>W</w:t>
      </w:r>
      <w:r w:rsidR="004D08A8" w:rsidRPr="004D08A8">
        <w:t>haikaha</w:t>
      </w:r>
      <w:r w:rsidR="005507E4">
        <w:t xml:space="preserve"> Māori</w:t>
      </w:r>
      <w:r w:rsidR="004D08A8" w:rsidRPr="004D08A8">
        <w:t xml:space="preserve"> practitioners and patrons have a right to access</w:t>
      </w:r>
      <w:r w:rsidR="005507E4">
        <w:t>,</w:t>
      </w:r>
      <w:r w:rsidR="004D08A8" w:rsidRPr="004D08A8">
        <w:t xml:space="preserve"> participate</w:t>
      </w:r>
      <w:r w:rsidR="005507E4">
        <w:t>, and work professionally</w:t>
      </w:r>
      <w:r w:rsidR="004D08A8" w:rsidRPr="004D08A8">
        <w:t xml:space="preserve"> in the arts. </w:t>
      </w:r>
    </w:p>
    <w:p w14:paraId="6FE1D5B8" w14:textId="14FE2A04" w:rsidR="004D08A8" w:rsidRPr="004D08A8" w:rsidRDefault="001343EA">
      <w:pPr>
        <w:pStyle w:val="ListParagraph"/>
        <w:numPr>
          <w:ilvl w:val="0"/>
          <w:numId w:val="5"/>
        </w:numPr>
      </w:pPr>
      <w:r>
        <w:t>A</w:t>
      </w:r>
      <w:r w:rsidR="004D08A8" w:rsidRPr="004D08A8">
        <w:t>ccess needs vary between individuals and across time.</w:t>
      </w:r>
    </w:p>
    <w:p w14:paraId="66169E02" w14:textId="52440B10" w:rsidR="005678E8" w:rsidRPr="00461E84" w:rsidRDefault="00F44C91" w:rsidP="00461E84">
      <w:pPr>
        <w:pStyle w:val="ListParagraph"/>
        <w:numPr>
          <w:ilvl w:val="0"/>
          <w:numId w:val="5"/>
        </w:numPr>
        <w:rPr>
          <w:b/>
          <w:bCs/>
        </w:rPr>
      </w:pPr>
      <w:r>
        <w:t>That e</w:t>
      </w:r>
      <w:r w:rsidR="004D08A8" w:rsidRPr="004D08A8">
        <w:t>veryone – regardless of their accessibility needs – deserves to be treated with dignity and respect and afforded autonomy in their decision</w:t>
      </w:r>
      <w:r w:rsidR="00665310">
        <w:t>-</w:t>
      </w:r>
      <w:r w:rsidR="004D08A8" w:rsidRPr="004D08A8">
        <w:t>making</w:t>
      </w:r>
      <w:r w:rsidR="00461E84">
        <w:t xml:space="preserve">; </w:t>
      </w:r>
      <w:r w:rsidR="00461E84">
        <w:rPr>
          <w:lang w:val="en-NZ"/>
        </w:rPr>
        <w:t>d</w:t>
      </w:r>
      <w:r w:rsidR="005678E8" w:rsidRPr="00461E84">
        <w:rPr>
          <w:lang w:val="en-NZ"/>
        </w:rPr>
        <w:t xml:space="preserve">isabled people </w:t>
      </w:r>
      <w:r w:rsidR="00461E84">
        <w:rPr>
          <w:lang w:val="en-NZ"/>
        </w:rPr>
        <w:t>will</w:t>
      </w:r>
      <w:r w:rsidR="005678E8" w:rsidRPr="00461E84">
        <w:rPr>
          <w:lang w:val="en-NZ"/>
        </w:rPr>
        <w:t xml:space="preserve"> be involved in decision</w:t>
      </w:r>
      <w:r w:rsidR="00665310">
        <w:rPr>
          <w:lang w:val="en-NZ"/>
        </w:rPr>
        <w:t>-</w:t>
      </w:r>
      <w:r w:rsidR="005678E8" w:rsidRPr="00461E84">
        <w:rPr>
          <w:lang w:val="en-NZ"/>
        </w:rPr>
        <w:t>making that impacts them.</w:t>
      </w:r>
    </w:p>
    <w:p w14:paraId="45D0E7FC" w14:textId="48E38B64" w:rsidR="004D08A8" w:rsidRPr="004D08A8" w:rsidRDefault="005678E8">
      <w:pPr>
        <w:pStyle w:val="ListParagraph"/>
        <w:numPr>
          <w:ilvl w:val="0"/>
          <w:numId w:val="5"/>
        </w:numPr>
      </w:pPr>
      <w:r>
        <w:t xml:space="preserve">The need to be as a non-disabling and culturally safe organisation as possible and is reasonable; </w:t>
      </w:r>
      <w:r w:rsidRPr="009F6075">
        <w:rPr>
          <w:lang w:val="en-NZ"/>
        </w:rPr>
        <w:t xml:space="preserve">responding </w:t>
      </w:r>
      <w:r w:rsidR="00665310">
        <w:rPr>
          <w:lang w:val="en-NZ"/>
        </w:rPr>
        <w:t>constructively</w:t>
      </w:r>
      <w:r w:rsidRPr="009F6075">
        <w:rPr>
          <w:lang w:val="en-NZ"/>
        </w:rPr>
        <w:t xml:space="preserve"> when </w:t>
      </w:r>
      <w:r>
        <w:rPr>
          <w:lang w:val="en-NZ"/>
        </w:rPr>
        <w:t>practitioners and/or audience</w:t>
      </w:r>
      <w:r w:rsidRPr="009F6075">
        <w:rPr>
          <w:lang w:val="en-NZ"/>
        </w:rPr>
        <w:t xml:space="preserve"> draw our attention to instances of inaccessibility</w:t>
      </w:r>
      <w:r>
        <w:rPr>
          <w:lang w:val="en-NZ"/>
        </w:rPr>
        <w:t xml:space="preserve"> and culturally unsafe instances</w:t>
      </w:r>
      <w:r w:rsidRPr="009F6075">
        <w:rPr>
          <w:lang w:val="en-NZ"/>
        </w:rPr>
        <w:t xml:space="preserve"> in our information and processes and </w:t>
      </w:r>
      <w:r w:rsidR="00461E84">
        <w:rPr>
          <w:lang w:val="en-NZ"/>
        </w:rPr>
        <w:t xml:space="preserve">using a co-design approach </w:t>
      </w:r>
      <w:r w:rsidRPr="009F6075">
        <w:rPr>
          <w:lang w:val="en-NZ"/>
        </w:rPr>
        <w:t>to</w:t>
      </w:r>
      <w:r w:rsidR="00665310">
        <w:rPr>
          <w:lang w:val="en-NZ"/>
        </w:rPr>
        <w:t xml:space="preserve"> address and</w:t>
      </w:r>
      <w:r w:rsidRPr="009F6075">
        <w:rPr>
          <w:lang w:val="en-NZ"/>
        </w:rPr>
        <w:t xml:space="preserve"> resolve </w:t>
      </w:r>
      <w:r>
        <w:rPr>
          <w:lang w:val="en-NZ"/>
        </w:rPr>
        <w:t>these</w:t>
      </w:r>
      <w:r w:rsidR="00665310">
        <w:rPr>
          <w:lang w:val="en-NZ"/>
        </w:rPr>
        <w:t xml:space="preserve"> issues</w:t>
      </w:r>
      <w:r w:rsidR="00461E84">
        <w:rPr>
          <w:lang w:val="en-NZ"/>
        </w:rPr>
        <w:t>.</w:t>
      </w:r>
    </w:p>
    <w:p w14:paraId="39D58446" w14:textId="4F405097" w:rsidR="00253884" w:rsidRDefault="00253884" w:rsidP="00990F7B"/>
    <w:p w14:paraId="59B73754" w14:textId="77777777" w:rsidR="00424A87" w:rsidRPr="003D6F4C" w:rsidRDefault="00424A87" w:rsidP="00424A87">
      <w:r w:rsidRPr="003D6F4C">
        <w:t xml:space="preserve">Prospect Park Productions’ </w:t>
      </w:r>
      <w:r>
        <w:t xml:space="preserve">overarching </w:t>
      </w:r>
      <w:r w:rsidRPr="003D6F4C">
        <w:t>strategic goals</w:t>
      </w:r>
      <w:r>
        <w:t xml:space="preserve"> and objectives</w:t>
      </w:r>
      <w:r w:rsidRPr="003D6F4C">
        <w:t xml:space="preserve"> </w:t>
      </w:r>
      <w:r>
        <w:t>are to</w:t>
      </w:r>
      <w:r w:rsidRPr="003D6F4C">
        <w:t>:</w:t>
      </w:r>
    </w:p>
    <w:p w14:paraId="64D2788A" w14:textId="06194CC4" w:rsidR="00424A87" w:rsidRPr="003D6F4C" w:rsidRDefault="00424A87" w:rsidP="00424A87">
      <w:pPr>
        <w:numPr>
          <w:ilvl w:val="0"/>
          <w:numId w:val="1"/>
        </w:numPr>
      </w:pPr>
      <w:r w:rsidRPr="003D6F4C">
        <w:t>Support new work development and produce new works in Ōtepoti</w:t>
      </w:r>
      <w:r w:rsidR="00461E84">
        <w:t>–</w:t>
      </w:r>
      <w:r w:rsidRPr="003D6F4C">
        <w:t>Dunedin.</w:t>
      </w:r>
    </w:p>
    <w:p w14:paraId="79673CF7" w14:textId="77777777" w:rsidR="00424A87" w:rsidRPr="003D6F4C" w:rsidRDefault="00424A87" w:rsidP="005678E8">
      <w:pPr>
        <w:numPr>
          <w:ilvl w:val="0"/>
          <w:numId w:val="2"/>
        </w:numPr>
        <w:ind w:left="1134" w:hanging="283"/>
      </w:pPr>
      <w:r w:rsidRPr="003D6F4C">
        <w:t>We support playwrights in developing new work through Ōtepoti Theatre Lab Playwrights Programme</w:t>
      </w:r>
    </w:p>
    <w:p w14:paraId="089AD315" w14:textId="73ACC627" w:rsidR="00424A87" w:rsidRDefault="00424A87" w:rsidP="005678E8">
      <w:pPr>
        <w:numPr>
          <w:ilvl w:val="0"/>
          <w:numId w:val="2"/>
        </w:numPr>
        <w:ind w:left="1134" w:hanging="283"/>
      </w:pPr>
      <w:r w:rsidRPr="003D6F4C">
        <w:t>Engag</w:t>
      </w:r>
      <w:r>
        <w:t>e</w:t>
      </w:r>
      <w:r w:rsidRPr="003D6F4C">
        <w:t xml:space="preserve"> creative professionals in the development of new work</w:t>
      </w:r>
      <w:r w:rsidR="00902F09">
        <w:t xml:space="preserve"> and professional practice</w:t>
      </w:r>
    </w:p>
    <w:p w14:paraId="463AAD1F" w14:textId="77777777" w:rsidR="00F44C91" w:rsidRPr="003D6F4C" w:rsidRDefault="00F44C91" w:rsidP="00F44C91">
      <w:pPr>
        <w:ind w:left="1134"/>
      </w:pPr>
    </w:p>
    <w:p w14:paraId="36A09024" w14:textId="77777777" w:rsidR="00424A87" w:rsidRPr="003D6F4C" w:rsidRDefault="00424A87" w:rsidP="001343EA">
      <w:pPr>
        <w:numPr>
          <w:ilvl w:val="0"/>
          <w:numId w:val="1"/>
        </w:numPr>
        <w:ind w:left="709"/>
      </w:pPr>
      <w:r w:rsidRPr="003D6F4C">
        <w:t>Create and provide accessible theatre and literature experiences for local audiences &amp; community</w:t>
      </w:r>
    </w:p>
    <w:p w14:paraId="48C681CE" w14:textId="77777777" w:rsidR="00424A87" w:rsidRPr="003D6F4C" w:rsidRDefault="00424A87" w:rsidP="005678E8">
      <w:pPr>
        <w:numPr>
          <w:ilvl w:val="0"/>
          <w:numId w:val="2"/>
        </w:numPr>
        <w:ind w:left="1134" w:hanging="283"/>
      </w:pPr>
      <w:r w:rsidRPr="003D6F4C">
        <w:t>Live performance and public programmes accessibility</w:t>
      </w:r>
    </w:p>
    <w:p w14:paraId="026E95AE" w14:textId="77777777" w:rsidR="00424A87" w:rsidRPr="003D6F4C" w:rsidRDefault="00424A87" w:rsidP="005678E8">
      <w:pPr>
        <w:numPr>
          <w:ilvl w:val="0"/>
          <w:numId w:val="2"/>
        </w:numPr>
        <w:ind w:left="1134" w:hanging="283"/>
      </w:pPr>
      <w:r w:rsidRPr="003D6F4C">
        <w:t>Price accessibility</w:t>
      </w:r>
    </w:p>
    <w:p w14:paraId="6770DF84" w14:textId="77777777" w:rsidR="00424A87" w:rsidRPr="003D6F4C" w:rsidRDefault="00424A87" w:rsidP="005678E8">
      <w:pPr>
        <w:numPr>
          <w:ilvl w:val="0"/>
          <w:numId w:val="2"/>
        </w:numPr>
        <w:ind w:left="1134" w:hanging="283"/>
      </w:pPr>
      <w:r w:rsidRPr="003D6F4C">
        <w:t>Digital platform accessibility</w:t>
      </w:r>
    </w:p>
    <w:p w14:paraId="703BCAB5" w14:textId="77777777" w:rsidR="00424A87" w:rsidRDefault="00424A87" w:rsidP="005678E8">
      <w:pPr>
        <w:numPr>
          <w:ilvl w:val="0"/>
          <w:numId w:val="2"/>
        </w:numPr>
        <w:ind w:left="1134" w:hanging="283"/>
      </w:pPr>
      <w:r w:rsidRPr="003D6F4C">
        <w:t>Venue accessibility where and when possible</w:t>
      </w:r>
    </w:p>
    <w:p w14:paraId="634E9BAD" w14:textId="77777777" w:rsidR="00424A87" w:rsidRDefault="00424A87" w:rsidP="00253884">
      <w:pPr>
        <w:rPr>
          <w:lang w:val="en-NZ"/>
        </w:rPr>
      </w:pPr>
    </w:p>
    <w:p w14:paraId="37B61C7E" w14:textId="77777777" w:rsidR="00F44C91" w:rsidRDefault="00F44C91" w:rsidP="00F44C91">
      <w:pPr>
        <w:pStyle w:val="Heading3"/>
      </w:pPr>
      <w:bookmarkStart w:id="13" w:name="_Toc125380823"/>
      <w:bookmarkStart w:id="14" w:name="_Toc126165780"/>
      <w:bookmarkStart w:id="15" w:name="_Toc126932444"/>
      <w:bookmarkStart w:id="16" w:name="_Toc126934733"/>
      <w:r>
        <w:t xml:space="preserve">Who is this </w:t>
      </w:r>
      <w:r w:rsidRPr="00F44C91">
        <w:t>Policy</w:t>
      </w:r>
      <w:r>
        <w:t xml:space="preserve"> for?</w:t>
      </w:r>
      <w:bookmarkEnd w:id="13"/>
      <w:bookmarkEnd w:id="14"/>
      <w:bookmarkEnd w:id="15"/>
      <w:bookmarkEnd w:id="16"/>
    </w:p>
    <w:p w14:paraId="606FEF67" w14:textId="77777777" w:rsidR="00F44C91" w:rsidRDefault="00F44C91" w:rsidP="00F44C91">
      <w:r>
        <w:t>The Prospect Park Productions Accessibility Policy applies to both practitioners and audience across all our platforms and events including Ōtepoti Theatre Lab and Ōtepoti Writers Lab.</w:t>
      </w:r>
    </w:p>
    <w:p w14:paraId="41403642" w14:textId="77777777" w:rsidR="00F44C91" w:rsidRDefault="00F44C91" w:rsidP="00F44C91"/>
    <w:p w14:paraId="730879EC" w14:textId="04D631CE" w:rsidR="00B358DF" w:rsidRDefault="00F44C91" w:rsidP="00F44C91">
      <w:r>
        <w:t>Mainstream frameworks and structures have not sufficiently served or represented the needs and identities of our arts communities In Aotearoa New Zealand, and more specifically Ōtepoti</w:t>
      </w:r>
      <w:r w:rsidR="00665310">
        <w:t>–</w:t>
      </w:r>
      <w:r>
        <w:t xml:space="preserve">Dunedin. To ensure a sustainable, equitable, and </w:t>
      </w:r>
      <w:r>
        <w:lastRenderedPageBreak/>
        <w:t>representative industry, it is imperative that we embed and implement the accessibility actions outlined in this policy.</w:t>
      </w:r>
    </w:p>
    <w:p w14:paraId="04299CF1" w14:textId="77777777" w:rsidR="001748B3" w:rsidRDefault="001748B3" w:rsidP="00F44C91"/>
    <w:p w14:paraId="67A085B5" w14:textId="1F2DA76E" w:rsidR="00B358DF" w:rsidRDefault="001748B3" w:rsidP="00B358DF">
      <w:pPr>
        <w:pStyle w:val="Heading3"/>
      </w:pPr>
      <w:bookmarkStart w:id="17" w:name="_Toc126165781"/>
      <w:bookmarkStart w:id="18" w:name="_Toc126932445"/>
      <w:bookmarkStart w:id="19" w:name="_Toc126934734"/>
      <w:r>
        <w:t xml:space="preserve">Policy </w:t>
      </w:r>
      <w:r w:rsidR="00B358DF">
        <w:t>Context</w:t>
      </w:r>
      <w:bookmarkEnd w:id="17"/>
      <w:bookmarkEnd w:id="18"/>
      <w:bookmarkEnd w:id="19"/>
    </w:p>
    <w:p w14:paraId="6879811A" w14:textId="68CCBB43" w:rsidR="001748B3" w:rsidRDefault="00B358DF" w:rsidP="00B358DF">
      <w:r>
        <w:t xml:space="preserve">Prospect Park Productions’ Accessibility Policy and Action </w:t>
      </w:r>
      <w:r w:rsidR="00101241">
        <w:t>P</w:t>
      </w:r>
      <w:r>
        <w:t>lan</w:t>
      </w:r>
      <w:r w:rsidR="00461E84">
        <w:t xml:space="preserve"> 2023-2025</w:t>
      </w:r>
      <w:r>
        <w:t xml:space="preserve"> have been informed by research, mentoring, networking, auditing of systems, and trialling of initiatives and resources between June 2022 and January 2023. </w:t>
      </w:r>
    </w:p>
    <w:p w14:paraId="4246CA57" w14:textId="77777777" w:rsidR="001748B3" w:rsidRDefault="001748B3" w:rsidP="00B358DF"/>
    <w:p w14:paraId="07D74787" w14:textId="77777777" w:rsidR="00101241" w:rsidRDefault="00B358DF" w:rsidP="00B358DF">
      <w:r>
        <w:t xml:space="preserve">The action plan covers four focus areas (see page 3) to be implemented </w:t>
      </w:r>
      <w:r w:rsidR="001748B3">
        <w:t xml:space="preserve">over three years. The action plan will be reviewed at the end of each calendar year.  </w:t>
      </w:r>
      <w:r>
        <w:t xml:space="preserve">  </w:t>
      </w:r>
    </w:p>
    <w:p w14:paraId="576E54C5" w14:textId="32231B33" w:rsidR="00F44C91" w:rsidRDefault="00F44C91" w:rsidP="00B358DF">
      <w:r>
        <w:t xml:space="preserve"> </w:t>
      </w:r>
    </w:p>
    <w:p w14:paraId="3EB6FEC1" w14:textId="77777777" w:rsidR="00F44C91" w:rsidRDefault="00F44C91" w:rsidP="00F44C91">
      <w:pPr>
        <w:pStyle w:val="Heading3"/>
      </w:pPr>
      <w:bookmarkStart w:id="20" w:name="_Toc125380824"/>
      <w:bookmarkStart w:id="21" w:name="_Toc126165782"/>
      <w:bookmarkStart w:id="22" w:name="_Toc126932446"/>
      <w:bookmarkStart w:id="23" w:name="_Toc126934735"/>
      <w:r w:rsidRPr="00F44C91">
        <w:t>Acknowledgements</w:t>
      </w:r>
      <w:bookmarkEnd w:id="20"/>
      <w:bookmarkEnd w:id="21"/>
      <w:bookmarkEnd w:id="22"/>
      <w:bookmarkEnd w:id="23"/>
    </w:p>
    <w:p w14:paraId="08336BAA" w14:textId="79477D08" w:rsidR="00F44C91" w:rsidRDefault="00F44C91" w:rsidP="0094799F">
      <w:r>
        <w:t xml:space="preserve">Research and creation of this policy was made possible by a Creative NZ Grant and mentoring and support from Stace Robertson at Arts Access Aotearoa and Nathan </w:t>
      </w:r>
      <w:proofErr w:type="spellStart"/>
      <w:r>
        <w:t>Mudge</w:t>
      </w:r>
      <w:proofErr w:type="spellEnd"/>
      <w:r>
        <w:t xml:space="preserve">. </w:t>
      </w:r>
    </w:p>
    <w:p w14:paraId="41BA435A" w14:textId="18100791" w:rsidR="005507E4" w:rsidRDefault="00B358DF" w:rsidP="0094799F">
      <w:r>
        <w:tab/>
      </w:r>
      <w:r>
        <w:tab/>
      </w:r>
      <w:r>
        <w:tab/>
      </w:r>
      <w:r>
        <w:tab/>
      </w:r>
      <w:r>
        <w:tab/>
      </w:r>
    </w:p>
    <w:p w14:paraId="70F8C000" w14:textId="77777777" w:rsidR="00B358DF" w:rsidRDefault="00B358DF" w:rsidP="0094799F"/>
    <w:p w14:paraId="25D9B580" w14:textId="6205B9A9" w:rsidR="005507E4" w:rsidRDefault="00101241" w:rsidP="0094799F">
      <w:r>
        <w:t>Friday 10</w:t>
      </w:r>
      <w:r w:rsidRPr="00101241">
        <w:rPr>
          <w:vertAlign w:val="superscript"/>
        </w:rPr>
        <w:t>th</w:t>
      </w:r>
      <w:r>
        <w:t xml:space="preserve"> February 2023</w:t>
      </w:r>
      <w:r w:rsidR="00B358DF">
        <w:tab/>
      </w:r>
      <w:r w:rsidR="00B358DF">
        <w:tab/>
      </w:r>
      <w:r w:rsidR="00B358DF">
        <w:tab/>
      </w:r>
      <w:r w:rsidR="00B358DF">
        <w:tab/>
      </w:r>
      <w:r w:rsidR="00B358DF">
        <w:tab/>
      </w:r>
      <w:r w:rsidR="00B358DF">
        <w:tab/>
      </w:r>
      <w:r w:rsidR="00CD2221">
        <w:tab/>
      </w:r>
      <w:r w:rsidR="00CD2221">
        <w:tab/>
      </w:r>
    </w:p>
    <w:p w14:paraId="7205154E" w14:textId="77777777" w:rsidR="00B358DF" w:rsidRDefault="00B358DF" w:rsidP="0094799F"/>
    <w:p w14:paraId="21EEFCB8" w14:textId="255E8DA1" w:rsidR="005507E4" w:rsidRDefault="005507E4" w:rsidP="0094799F">
      <w:r>
        <w:t>Emily Duncan</w:t>
      </w:r>
      <w:r w:rsidR="00B358DF">
        <w:tab/>
      </w:r>
      <w:r w:rsidR="00B358DF">
        <w:tab/>
      </w:r>
      <w:r w:rsidR="00B358DF">
        <w:tab/>
      </w:r>
      <w:r w:rsidR="00B358DF">
        <w:tab/>
      </w:r>
      <w:r w:rsidR="00B358DF">
        <w:tab/>
      </w:r>
      <w:r w:rsidR="00B358DF">
        <w:tab/>
        <w:t>H-J Kilkelly</w:t>
      </w:r>
    </w:p>
    <w:p w14:paraId="2D997D82" w14:textId="64AFE924" w:rsidR="005507E4" w:rsidRDefault="005507E4" w:rsidP="0094799F">
      <w:r>
        <w:t>Co-director</w:t>
      </w:r>
      <w:r w:rsidR="00B358DF">
        <w:tab/>
      </w:r>
      <w:r w:rsidR="00B358DF">
        <w:tab/>
      </w:r>
      <w:r w:rsidR="00B358DF">
        <w:tab/>
      </w:r>
      <w:r w:rsidR="00B358DF">
        <w:tab/>
      </w:r>
      <w:r w:rsidR="00B358DF">
        <w:tab/>
      </w:r>
      <w:r w:rsidR="00B358DF">
        <w:tab/>
      </w:r>
      <w:r w:rsidR="00B358DF">
        <w:tab/>
        <w:t>Co-director</w:t>
      </w:r>
    </w:p>
    <w:p w14:paraId="680582EC" w14:textId="20A6B1FB" w:rsidR="005507E4" w:rsidRPr="0094799F" w:rsidRDefault="005507E4" w:rsidP="0094799F">
      <w:r>
        <w:t>Prospect Park Productions NZ</w:t>
      </w:r>
      <w:r w:rsidR="00B358DF">
        <w:tab/>
      </w:r>
      <w:r w:rsidR="00B358DF">
        <w:tab/>
      </w:r>
      <w:r w:rsidR="00B358DF">
        <w:tab/>
      </w:r>
      <w:r w:rsidR="00B358DF">
        <w:tab/>
        <w:t>Prospect Park Productions NZ</w:t>
      </w:r>
    </w:p>
    <w:p w14:paraId="04E581AF" w14:textId="77777777" w:rsidR="00F44C91" w:rsidRDefault="00F44C91">
      <w:pPr>
        <w:rPr>
          <w:rFonts w:eastAsiaTheme="majorEastAsia" w:cstheme="majorBidi"/>
          <w:b/>
          <w:color w:val="000000" w:themeColor="text1"/>
          <w:lang w:val="en-NZ"/>
        </w:rPr>
      </w:pPr>
      <w:r>
        <w:rPr>
          <w:lang w:val="en-NZ"/>
        </w:rPr>
        <w:br w:type="page"/>
      </w:r>
    </w:p>
    <w:p w14:paraId="59F4DBDF" w14:textId="628AE0F8" w:rsidR="005678E8" w:rsidRDefault="005678E8" w:rsidP="00F44C91">
      <w:pPr>
        <w:pStyle w:val="Heading2"/>
        <w:rPr>
          <w:lang w:val="en-NZ"/>
        </w:rPr>
      </w:pPr>
      <w:bookmarkStart w:id="24" w:name="_Toc125380825"/>
      <w:bookmarkStart w:id="25" w:name="_Toc126165783"/>
      <w:bookmarkStart w:id="26" w:name="_Toc126932447"/>
      <w:bookmarkStart w:id="27" w:name="_Toc126934736"/>
      <w:r>
        <w:rPr>
          <w:lang w:val="en-NZ"/>
        </w:rPr>
        <w:lastRenderedPageBreak/>
        <w:t>Action Plan Focus Areas</w:t>
      </w:r>
      <w:bookmarkEnd w:id="24"/>
      <w:bookmarkEnd w:id="25"/>
      <w:bookmarkEnd w:id="26"/>
      <w:bookmarkEnd w:id="27"/>
    </w:p>
    <w:p w14:paraId="4E6657E4" w14:textId="10B07724" w:rsidR="005678E8" w:rsidRDefault="00253884" w:rsidP="00253884">
      <w:pPr>
        <w:rPr>
          <w:lang w:val="en-NZ"/>
        </w:rPr>
      </w:pPr>
      <w:r w:rsidRPr="008101A3">
        <w:rPr>
          <w:lang w:val="en-NZ"/>
        </w:rPr>
        <w:t xml:space="preserve">From </w:t>
      </w:r>
      <w:r>
        <w:rPr>
          <w:lang w:val="en-NZ"/>
        </w:rPr>
        <w:t>our</w:t>
      </w:r>
      <w:r w:rsidRPr="008101A3">
        <w:rPr>
          <w:lang w:val="en-NZ"/>
        </w:rPr>
        <w:t xml:space="preserve"> analysis, </w:t>
      </w:r>
      <w:r w:rsidR="00B358DF">
        <w:rPr>
          <w:lang w:val="en-NZ"/>
        </w:rPr>
        <w:t>Prospect Park Productions has</w:t>
      </w:r>
      <w:r w:rsidRPr="008101A3">
        <w:rPr>
          <w:lang w:val="en-NZ"/>
        </w:rPr>
        <w:t xml:space="preserve"> </w:t>
      </w:r>
      <w:r w:rsidR="005678E8">
        <w:rPr>
          <w:lang w:val="en-NZ"/>
        </w:rPr>
        <w:t xml:space="preserve">identified four Accessibility Action Plan focus areas for 2023-2025: </w:t>
      </w:r>
    </w:p>
    <w:tbl>
      <w:tblPr>
        <w:tblStyle w:val="TableGrid"/>
        <w:tblW w:w="0" w:type="auto"/>
        <w:tblLook w:val="04A0" w:firstRow="1" w:lastRow="0" w:firstColumn="1" w:lastColumn="0" w:noHBand="0" w:noVBand="1"/>
      </w:tblPr>
      <w:tblGrid>
        <w:gridCol w:w="4531"/>
        <w:gridCol w:w="4474"/>
      </w:tblGrid>
      <w:tr w:rsidR="005678E8" w14:paraId="29522F43" w14:textId="77777777" w:rsidTr="001748B3">
        <w:tc>
          <w:tcPr>
            <w:tcW w:w="4531" w:type="dxa"/>
            <w:shd w:val="clear" w:color="auto" w:fill="C5E0B3" w:themeFill="accent6" w:themeFillTint="66"/>
          </w:tcPr>
          <w:p w14:paraId="1E1EA7CA" w14:textId="7D5F5BBB" w:rsidR="005678E8" w:rsidRDefault="005678E8" w:rsidP="00F44C91">
            <w:pPr>
              <w:jc w:val="center"/>
              <w:rPr>
                <w:b/>
                <w:bCs/>
              </w:rPr>
            </w:pPr>
            <w:r w:rsidRPr="00F44C91">
              <w:rPr>
                <w:b/>
                <w:bCs/>
              </w:rPr>
              <w:t>Public Engagement, Media, and Communications</w:t>
            </w:r>
          </w:p>
          <w:p w14:paraId="4E4F06E6" w14:textId="77777777" w:rsidR="00F44C91" w:rsidRPr="00F44C91" w:rsidRDefault="00F44C91" w:rsidP="00F44C91">
            <w:pPr>
              <w:jc w:val="center"/>
              <w:rPr>
                <w:b/>
                <w:bCs/>
              </w:rPr>
            </w:pPr>
          </w:p>
          <w:p w14:paraId="09A0A268" w14:textId="30613CB5" w:rsidR="00BE3ACD" w:rsidRPr="00BE3ACD" w:rsidRDefault="00BE3ACD">
            <w:pPr>
              <w:pStyle w:val="ListParagraph"/>
              <w:numPr>
                <w:ilvl w:val="0"/>
                <w:numId w:val="7"/>
              </w:numPr>
            </w:pPr>
            <w:r w:rsidRPr="002C5897">
              <w:t>Accessible marketing and publicity materials for events and programmes</w:t>
            </w:r>
            <w:r w:rsidR="00461E84">
              <w:t>.</w:t>
            </w:r>
          </w:p>
          <w:p w14:paraId="44FD0678" w14:textId="5B159901" w:rsidR="00F44C91" w:rsidRPr="00BE3ACD" w:rsidRDefault="00F44C91">
            <w:pPr>
              <w:pStyle w:val="ListParagraph"/>
              <w:numPr>
                <w:ilvl w:val="0"/>
                <w:numId w:val="7"/>
              </w:numPr>
              <w:rPr>
                <w:lang w:val="en-NZ"/>
              </w:rPr>
            </w:pPr>
            <w:r w:rsidRPr="00BE3ACD">
              <w:rPr>
                <w:lang w:val="en-NZ"/>
              </w:rPr>
              <w:t xml:space="preserve">Performance and event accessibility for audience and patrons who face cost barriers due to disability or income. </w:t>
            </w:r>
          </w:p>
          <w:p w14:paraId="594E36D9" w14:textId="3B47EA4B" w:rsidR="00F44C91" w:rsidRPr="00BE3ACD" w:rsidRDefault="00BE3ACD">
            <w:pPr>
              <w:pStyle w:val="ListParagraph"/>
              <w:numPr>
                <w:ilvl w:val="0"/>
                <w:numId w:val="7"/>
              </w:numPr>
              <w:rPr>
                <w:lang w:val="en-NZ"/>
              </w:rPr>
            </w:pPr>
            <w:r w:rsidRPr="00BE3ACD">
              <w:rPr>
                <w:lang w:val="en-NZ"/>
              </w:rPr>
              <w:t>C</w:t>
            </w:r>
            <w:r w:rsidR="00F44C91" w:rsidRPr="00BE3ACD">
              <w:rPr>
                <w:lang w:val="en-NZ"/>
              </w:rPr>
              <w:t>uration criteria amended to ensure we consider the interests and needs of all types of performers, crew, and audiences.</w:t>
            </w:r>
          </w:p>
          <w:p w14:paraId="324BA54A" w14:textId="3A4490FD" w:rsidR="005678E8" w:rsidRPr="00BE3ACD" w:rsidRDefault="0094799F">
            <w:pPr>
              <w:pStyle w:val="ListParagraph"/>
              <w:numPr>
                <w:ilvl w:val="0"/>
                <w:numId w:val="7"/>
              </w:numPr>
              <w:rPr>
                <w:lang w:val="en-NZ"/>
              </w:rPr>
            </w:pPr>
            <w:r>
              <w:rPr>
                <w:lang w:val="en-NZ"/>
              </w:rPr>
              <w:t>A</w:t>
            </w:r>
            <w:r w:rsidR="00F44C91" w:rsidRPr="00BE3ACD">
              <w:rPr>
                <w:lang w:val="en-NZ"/>
              </w:rPr>
              <w:t>ccessible audience options (</w:t>
            </w:r>
            <w:r w:rsidR="00BE3ACD" w:rsidRPr="00BE3ACD">
              <w:rPr>
                <w:lang w:val="en-NZ"/>
              </w:rPr>
              <w:t>incl. NZSL, audio described, and</w:t>
            </w:r>
            <w:r w:rsidR="00F44C91" w:rsidRPr="00BE3ACD">
              <w:rPr>
                <w:lang w:val="en-NZ"/>
              </w:rPr>
              <w:t xml:space="preserve"> relaxed performances) as resourcing allows.</w:t>
            </w:r>
          </w:p>
          <w:p w14:paraId="3B783A31" w14:textId="77777777" w:rsidR="005678E8" w:rsidRDefault="005678E8" w:rsidP="00253884">
            <w:pPr>
              <w:rPr>
                <w:lang w:val="en-NZ"/>
              </w:rPr>
            </w:pPr>
          </w:p>
        </w:tc>
        <w:tc>
          <w:tcPr>
            <w:tcW w:w="4474" w:type="dxa"/>
            <w:tcBorders>
              <w:top w:val="single" w:sz="8" w:space="0" w:color="auto"/>
              <w:right w:val="single" w:sz="8" w:space="0" w:color="auto"/>
            </w:tcBorders>
            <w:shd w:val="clear" w:color="auto" w:fill="7FB4D9"/>
          </w:tcPr>
          <w:p w14:paraId="4E271501" w14:textId="6C46E368" w:rsidR="005678E8" w:rsidRDefault="005678E8" w:rsidP="00F44C91">
            <w:pPr>
              <w:jc w:val="center"/>
              <w:rPr>
                <w:b/>
                <w:bCs/>
              </w:rPr>
            </w:pPr>
            <w:r w:rsidRPr="00F44C91">
              <w:rPr>
                <w:b/>
                <w:bCs/>
              </w:rPr>
              <w:t>Digital Accessibility</w:t>
            </w:r>
          </w:p>
          <w:p w14:paraId="768F0A0F" w14:textId="77777777" w:rsidR="00F44C91" w:rsidRPr="00F44C91" w:rsidRDefault="00F44C91" w:rsidP="00F44C91">
            <w:pPr>
              <w:jc w:val="center"/>
              <w:rPr>
                <w:b/>
                <w:bCs/>
              </w:rPr>
            </w:pPr>
          </w:p>
          <w:p w14:paraId="5A4767E8" w14:textId="77777777" w:rsidR="00BE3ACD" w:rsidRDefault="00BE3ACD">
            <w:pPr>
              <w:pStyle w:val="ListParagraph"/>
              <w:numPr>
                <w:ilvl w:val="0"/>
                <w:numId w:val="8"/>
              </w:numPr>
            </w:pPr>
            <w:r>
              <w:t>Increased w</w:t>
            </w:r>
            <w:r w:rsidRPr="001A67F6">
              <w:t xml:space="preserve">ebsite </w:t>
            </w:r>
            <w:r>
              <w:t>a</w:t>
            </w:r>
            <w:r w:rsidRPr="001A67F6">
              <w:t>ccessibility</w:t>
            </w:r>
            <w:r>
              <w:t>.</w:t>
            </w:r>
          </w:p>
          <w:p w14:paraId="4B6E78E5" w14:textId="263C07A5" w:rsidR="00BE3ACD" w:rsidRDefault="00BE3ACD">
            <w:pPr>
              <w:pStyle w:val="ListParagraph"/>
              <w:numPr>
                <w:ilvl w:val="0"/>
                <w:numId w:val="8"/>
              </w:numPr>
            </w:pPr>
            <w:r>
              <w:t xml:space="preserve">Open access </w:t>
            </w:r>
            <w:r w:rsidR="001748B3">
              <w:t xml:space="preserve">professional development and practice </w:t>
            </w:r>
            <w:r>
              <w:t>resource</w:t>
            </w:r>
            <w:r w:rsidR="001748B3">
              <w:t>s</w:t>
            </w:r>
            <w:r>
              <w:t>.</w:t>
            </w:r>
            <w:r w:rsidRPr="001A67F6">
              <w:t xml:space="preserve"> </w:t>
            </w:r>
          </w:p>
          <w:p w14:paraId="16774748" w14:textId="6E0CE348" w:rsidR="00BE3ACD" w:rsidRDefault="00BE3ACD">
            <w:pPr>
              <w:pStyle w:val="ListParagraph"/>
              <w:numPr>
                <w:ilvl w:val="0"/>
                <w:numId w:val="8"/>
              </w:numPr>
            </w:pPr>
            <w:r w:rsidRPr="00BE3ACD">
              <w:t xml:space="preserve">Closed </w:t>
            </w:r>
            <w:r>
              <w:t>c</w:t>
            </w:r>
            <w:r w:rsidRPr="00BE3ACD">
              <w:t xml:space="preserve">aptioning and </w:t>
            </w:r>
            <w:r>
              <w:t>t</w:t>
            </w:r>
            <w:r w:rsidRPr="00BE3ACD">
              <w:t>ranscription for podcasts (and other future digital media</w:t>
            </w:r>
            <w:r>
              <w:t>.</w:t>
            </w:r>
          </w:p>
          <w:p w14:paraId="3570DA3A" w14:textId="77777777" w:rsidR="00F44C91" w:rsidRDefault="00F44C91" w:rsidP="005678E8"/>
          <w:p w14:paraId="0E5D38A1" w14:textId="77777777" w:rsidR="005678E8" w:rsidRDefault="005678E8" w:rsidP="00253884">
            <w:pPr>
              <w:rPr>
                <w:lang w:val="en-NZ"/>
              </w:rPr>
            </w:pPr>
          </w:p>
        </w:tc>
      </w:tr>
      <w:tr w:rsidR="005678E8" w14:paraId="38D3D859" w14:textId="77777777" w:rsidTr="001748B3">
        <w:tc>
          <w:tcPr>
            <w:tcW w:w="4531" w:type="dxa"/>
            <w:shd w:val="clear" w:color="auto" w:fill="EBC6FF"/>
          </w:tcPr>
          <w:p w14:paraId="6B4D2D0B" w14:textId="48C88A09" w:rsidR="005678E8" w:rsidRDefault="005678E8" w:rsidP="00F44C91">
            <w:pPr>
              <w:jc w:val="center"/>
              <w:rPr>
                <w:b/>
                <w:bCs/>
              </w:rPr>
            </w:pPr>
            <w:r w:rsidRPr="00F44C91">
              <w:rPr>
                <w:b/>
                <w:bCs/>
              </w:rPr>
              <w:t>Practitioner and Programme Participants</w:t>
            </w:r>
          </w:p>
          <w:p w14:paraId="50644500" w14:textId="77777777" w:rsidR="00F44C91" w:rsidRPr="00F44C91" w:rsidRDefault="00F44C91" w:rsidP="00F44C91">
            <w:pPr>
              <w:jc w:val="center"/>
              <w:rPr>
                <w:b/>
                <w:bCs/>
              </w:rPr>
            </w:pPr>
          </w:p>
          <w:p w14:paraId="3E211645" w14:textId="222E0089" w:rsidR="00F44C91" w:rsidRDefault="00F44C91">
            <w:pPr>
              <w:pStyle w:val="ListParagraph"/>
              <w:numPr>
                <w:ilvl w:val="0"/>
                <w:numId w:val="9"/>
              </w:numPr>
            </w:pPr>
            <w:r>
              <w:t>Access Riders for all practitioners and facilitators engaged for programmes, productions, and projects across out platforms.</w:t>
            </w:r>
          </w:p>
          <w:p w14:paraId="7CAA42FC" w14:textId="28E45553" w:rsidR="00BE3ACD" w:rsidRPr="00670C3D" w:rsidRDefault="00BE3ACD">
            <w:pPr>
              <w:pStyle w:val="ListParagraph"/>
              <w:numPr>
                <w:ilvl w:val="0"/>
                <w:numId w:val="9"/>
              </w:numPr>
            </w:pPr>
            <w:r w:rsidRPr="00670C3D">
              <w:t xml:space="preserve">Universal </w:t>
            </w:r>
            <w:r>
              <w:t>a</w:t>
            </w:r>
            <w:r w:rsidRPr="00670C3D">
              <w:t xml:space="preserve">ccess and </w:t>
            </w:r>
            <w:r>
              <w:t>w</w:t>
            </w:r>
            <w:r w:rsidRPr="00670C3D">
              <w:t xml:space="preserve">ellbeing </w:t>
            </w:r>
            <w:r>
              <w:t>s</w:t>
            </w:r>
            <w:r w:rsidRPr="00670C3D">
              <w:t>tipend</w:t>
            </w:r>
            <w:r>
              <w:t>s.</w:t>
            </w:r>
          </w:p>
          <w:p w14:paraId="070DE101" w14:textId="2F9D03B7" w:rsidR="00BE3ACD" w:rsidRPr="0094799F" w:rsidRDefault="00BE3ACD">
            <w:pPr>
              <w:pStyle w:val="ListParagraph"/>
              <w:numPr>
                <w:ilvl w:val="0"/>
                <w:numId w:val="9"/>
              </w:numPr>
              <w:rPr>
                <w:lang w:val="en-NZ"/>
              </w:rPr>
            </w:pPr>
            <w:r w:rsidRPr="001A67F6">
              <w:t>Accessible application options</w:t>
            </w:r>
            <w:r>
              <w:t>.</w:t>
            </w:r>
          </w:p>
          <w:p w14:paraId="35A45F6B" w14:textId="665A0DD6" w:rsidR="0094799F" w:rsidRPr="00BE3ACD" w:rsidRDefault="0094799F">
            <w:pPr>
              <w:pStyle w:val="ListParagraph"/>
              <w:numPr>
                <w:ilvl w:val="0"/>
                <w:numId w:val="9"/>
              </w:numPr>
              <w:rPr>
                <w:lang w:val="en-NZ"/>
              </w:rPr>
            </w:pPr>
            <w:r>
              <w:t>Programme</w:t>
            </w:r>
            <w:r w:rsidRPr="00125F1B">
              <w:t xml:space="preserve"> materials</w:t>
            </w:r>
            <w:r>
              <w:t xml:space="preserve"> created and distributed</w:t>
            </w:r>
            <w:r w:rsidRPr="00125F1B">
              <w:t xml:space="preserve"> in a range of accessible formats</w:t>
            </w:r>
          </w:p>
          <w:p w14:paraId="4037F790" w14:textId="3F4B0535" w:rsidR="00F44C91" w:rsidRPr="00BE3ACD" w:rsidRDefault="00F44C91">
            <w:pPr>
              <w:pStyle w:val="ListParagraph"/>
              <w:numPr>
                <w:ilvl w:val="0"/>
                <w:numId w:val="9"/>
              </w:numPr>
              <w:rPr>
                <w:lang w:val="en-NZ"/>
              </w:rPr>
            </w:pPr>
            <w:r w:rsidRPr="00BE3ACD">
              <w:rPr>
                <w:lang w:val="en-NZ"/>
              </w:rPr>
              <w:t>Open-access professional development resourcing for local practitioners to support sustainable careers in the arts.</w:t>
            </w:r>
          </w:p>
          <w:p w14:paraId="50EBEEB6" w14:textId="77777777" w:rsidR="005678E8" w:rsidRDefault="005678E8" w:rsidP="00253884">
            <w:pPr>
              <w:rPr>
                <w:lang w:val="en-NZ"/>
              </w:rPr>
            </w:pPr>
          </w:p>
        </w:tc>
        <w:tc>
          <w:tcPr>
            <w:tcW w:w="4474" w:type="dxa"/>
            <w:shd w:val="clear" w:color="auto" w:fill="FFF2CC"/>
          </w:tcPr>
          <w:p w14:paraId="3F114B2E" w14:textId="6881D643" w:rsidR="005678E8" w:rsidRDefault="005678E8" w:rsidP="00F44C91">
            <w:pPr>
              <w:jc w:val="center"/>
              <w:rPr>
                <w:b/>
                <w:bCs/>
              </w:rPr>
            </w:pPr>
            <w:r w:rsidRPr="00F44C91">
              <w:rPr>
                <w:b/>
                <w:bCs/>
              </w:rPr>
              <w:t>Physical Site Accessibility</w:t>
            </w:r>
          </w:p>
          <w:p w14:paraId="5805A912" w14:textId="77777777" w:rsidR="00F44C91" w:rsidRPr="00F44C91" w:rsidRDefault="00F44C91" w:rsidP="00F44C91">
            <w:pPr>
              <w:jc w:val="center"/>
              <w:rPr>
                <w:b/>
                <w:bCs/>
              </w:rPr>
            </w:pPr>
          </w:p>
          <w:p w14:paraId="44DEFF60" w14:textId="62AA0062" w:rsidR="00F44C91" w:rsidRPr="00BE3ACD" w:rsidRDefault="00F44C91">
            <w:pPr>
              <w:pStyle w:val="ListParagraph"/>
              <w:numPr>
                <w:ilvl w:val="0"/>
                <w:numId w:val="10"/>
              </w:numPr>
              <w:rPr>
                <w:lang w:val="en-NZ"/>
              </w:rPr>
            </w:pPr>
            <w:r w:rsidRPr="00BE3ACD">
              <w:rPr>
                <w:lang w:val="en-NZ"/>
              </w:rPr>
              <w:t>Safe, healthy, accessible, and affordable workshop</w:t>
            </w:r>
            <w:r w:rsidR="00461E84">
              <w:rPr>
                <w:lang w:val="en-NZ"/>
              </w:rPr>
              <w:t>–</w:t>
            </w:r>
            <w:r w:rsidRPr="00BE3ACD">
              <w:rPr>
                <w:lang w:val="en-NZ"/>
              </w:rPr>
              <w:t>rehearsal space for practitioners</w:t>
            </w:r>
            <w:r w:rsidR="00BE3ACD" w:rsidRPr="00BE3ACD">
              <w:rPr>
                <w:lang w:val="en-NZ"/>
              </w:rPr>
              <w:t xml:space="preserve"> (incl. </w:t>
            </w:r>
            <w:r w:rsidR="00BE3ACD" w:rsidRPr="00BE3ACD">
              <w:t>Air filtration and CO</w:t>
            </w:r>
            <w:r w:rsidR="00BE3ACD" w:rsidRPr="00BE3ACD">
              <w:rPr>
                <w:vertAlign w:val="subscript"/>
              </w:rPr>
              <w:t>2</w:t>
            </w:r>
            <w:r w:rsidR="00BE3ACD" w:rsidRPr="00BE3ACD">
              <w:t xml:space="preserve"> metres</w:t>
            </w:r>
            <w:r w:rsidR="00461E84">
              <w:t xml:space="preserve"> as funding allows</w:t>
            </w:r>
            <w:r w:rsidR="00BE3ACD">
              <w:t>)</w:t>
            </w:r>
            <w:r w:rsidRPr="00BE3ACD">
              <w:rPr>
                <w:lang w:val="en-NZ"/>
              </w:rPr>
              <w:t>.</w:t>
            </w:r>
          </w:p>
          <w:p w14:paraId="4EEB81DA" w14:textId="1C7D2825" w:rsidR="005678E8" w:rsidRPr="00BE3ACD" w:rsidRDefault="005678E8">
            <w:pPr>
              <w:pStyle w:val="ListParagraph"/>
              <w:numPr>
                <w:ilvl w:val="0"/>
                <w:numId w:val="10"/>
              </w:numPr>
              <w:rPr>
                <w:lang w:val="en-NZ"/>
              </w:rPr>
            </w:pPr>
            <w:r>
              <w:t>Work with 3</w:t>
            </w:r>
            <w:r w:rsidRPr="00BE3ACD">
              <w:rPr>
                <w:vertAlign w:val="superscript"/>
              </w:rPr>
              <w:t>rd</w:t>
            </w:r>
            <w:r>
              <w:t xml:space="preserve"> party venues to address the accessibility needs of our creatives and audience.</w:t>
            </w:r>
          </w:p>
          <w:p w14:paraId="44E67E35" w14:textId="2AA0C965" w:rsidR="005678E8" w:rsidRPr="00BE3ACD" w:rsidRDefault="005678E8">
            <w:pPr>
              <w:pStyle w:val="ListParagraph"/>
              <w:numPr>
                <w:ilvl w:val="0"/>
                <w:numId w:val="10"/>
              </w:numPr>
              <w:rPr>
                <w:lang w:val="en-NZ"/>
              </w:rPr>
            </w:pPr>
            <w:r w:rsidRPr="00BE3ACD">
              <w:rPr>
                <w:lang w:val="en-NZ"/>
              </w:rPr>
              <w:t>Venue accessibility features, and policy, will be advertised.</w:t>
            </w:r>
          </w:p>
          <w:p w14:paraId="755AF311" w14:textId="66796822" w:rsidR="00BE3ACD" w:rsidRPr="00BE3ACD" w:rsidRDefault="00BE3ACD">
            <w:pPr>
              <w:pStyle w:val="ListParagraph"/>
              <w:numPr>
                <w:ilvl w:val="0"/>
                <w:numId w:val="10"/>
              </w:numPr>
              <w:rPr>
                <w:lang w:val="en-NZ"/>
              </w:rPr>
            </w:pPr>
            <w:r w:rsidRPr="00670C3D">
              <w:t>Low sensory environment</w:t>
            </w:r>
            <w:r>
              <w:t xml:space="preserve"> accommodations.</w:t>
            </w:r>
          </w:p>
          <w:p w14:paraId="03E009D9" w14:textId="77777777" w:rsidR="005678E8" w:rsidRDefault="005678E8" w:rsidP="005678E8"/>
          <w:p w14:paraId="0631A000" w14:textId="77777777" w:rsidR="005678E8" w:rsidRDefault="005678E8" w:rsidP="00253884">
            <w:pPr>
              <w:rPr>
                <w:lang w:val="en-NZ"/>
              </w:rPr>
            </w:pPr>
          </w:p>
        </w:tc>
      </w:tr>
    </w:tbl>
    <w:p w14:paraId="62270B8A" w14:textId="576D5471" w:rsidR="00CF2897" w:rsidRDefault="00B358DF">
      <w:pPr>
        <w:rPr>
          <w:rFonts w:eastAsiaTheme="majorEastAsia" w:cstheme="majorBidi"/>
          <w:b/>
          <w:color w:val="000000" w:themeColor="text1"/>
          <w:sz w:val="26"/>
          <w:szCs w:val="26"/>
        </w:rPr>
      </w:pPr>
      <w:bookmarkStart w:id="28" w:name="_Toc110961276"/>
      <w:bookmarkStart w:id="29" w:name="_Toc111489493"/>
      <w:bookmarkStart w:id="30" w:name="_Toc117699087"/>
      <w:bookmarkEnd w:id="0"/>
      <w:r>
        <w:t xml:space="preserve">NB: </w:t>
      </w:r>
      <w:r w:rsidR="00461E84">
        <w:t>The</w:t>
      </w:r>
      <w:r>
        <w:t xml:space="preserve"> detailed Action Plan is </w:t>
      </w:r>
      <w:r w:rsidR="008E5C5D">
        <w:t>a</w:t>
      </w:r>
      <w:r>
        <w:t xml:space="preserve"> separate document.</w:t>
      </w:r>
      <w:r w:rsidR="00CF2897">
        <w:br w:type="page"/>
      </w:r>
    </w:p>
    <w:p w14:paraId="0D07E3E7" w14:textId="125F9618" w:rsidR="00CF2897" w:rsidRDefault="001A5477" w:rsidP="00373A8F">
      <w:pPr>
        <w:pStyle w:val="Heading2"/>
      </w:pPr>
      <w:bookmarkStart w:id="31" w:name="_Toc125380826"/>
      <w:bookmarkStart w:id="32" w:name="_Toc126165784"/>
      <w:bookmarkStart w:id="33" w:name="_Toc126932448"/>
      <w:bookmarkStart w:id="34" w:name="_Toc126934737"/>
      <w:r>
        <w:lastRenderedPageBreak/>
        <w:t>Guiding Strategies and Principles</w:t>
      </w:r>
      <w:bookmarkEnd w:id="31"/>
      <w:bookmarkEnd w:id="32"/>
      <w:bookmarkEnd w:id="33"/>
      <w:bookmarkEnd w:id="34"/>
    </w:p>
    <w:p w14:paraId="13755727" w14:textId="06DB831C" w:rsidR="007C6505" w:rsidRDefault="007C6505" w:rsidP="00CF2897">
      <w:pPr>
        <w:pStyle w:val="Heading3"/>
      </w:pPr>
      <w:bookmarkStart w:id="35" w:name="_Toc122532836"/>
      <w:bookmarkStart w:id="36" w:name="_Toc125380827"/>
      <w:bookmarkStart w:id="37" w:name="_Toc126165785"/>
      <w:bookmarkStart w:id="38" w:name="_Toc121934132"/>
      <w:bookmarkStart w:id="39" w:name="_Toc126932449"/>
      <w:bookmarkStart w:id="40" w:name="_Toc126934738"/>
      <w:r>
        <w:t>NZ Disability Strategy</w:t>
      </w:r>
      <w:r w:rsidR="00153C79">
        <w:t xml:space="preserve"> 2016-2026</w:t>
      </w:r>
      <w:bookmarkEnd w:id="35"/>
      <w:bookmarkEnd w:id="36"/>
      <w:bookmarkEnd w:id="37"/>
      <w:bookmarkEnd w:id="39"/>
      <w:bookmarkEnd w:id="40"/>
    </w:p>
    <w:p w14:paraId="41D3879B" w14:textId="6CCD4A6F" w:rsidR="007C6505" w:rsidRDefault="007C6505" w:rsidP="007C6505">
      <w:r>
        <w:t xml:space="preserve">The vision of the </w:t>
      </w:r>
      <w:hyperlink r:id="rId9" w:history="1">
        <w:r w:rsidRPr="00CD2221">
          <w:rPr>
            <w:rStyle w:val="Hyperlink"/>
          </w:rPr>
          <w:t>New Zealand Disability Strategy</w:t>
        </w:r>
      </w:hyperlink>
      <w:r>
        <w:t xml:space="preserve"> is: </w:t>
      </w:r>
      <w:r w:rsidR="009F6075">
        <w:t>‘</w:t>
      </w:r>
      <w:r>
        <w:t xml:space="preserve">New Zealand is a non-disabling society </w:t>
      </w:r>
      <w:r w:rsidR="00665310">
        <w:t>–</w:t>
      </w:r>
      <w:r>
        <w:t xml:space="preserve"> a place where disabled people have an equal opportunity to achieve their goals and aspirations, and all of New Zealand works together to make this happen.</w:t>
      </w:r>
      <w:r w:rsidR="009F6075">
        <w:t>’</w:t>
      </w:r>
    </w:p>
    <w:p w14:paraId="2E268997" w14:textId="7A2EF654" w:rsidR="00373A8F" w:rsidRDefault="00373A8F" w:rsidP="00CF2897">
      <w:pPr>
        <w:pStyle w:val="Heading3"/>
      </w:pPr>
      <w:bookmarkStart w:id="41" w:name="_Toc122532837"/>
      <w:bookmarkStart w:id="42" w:name="_Toc125380828"/>
      <w:bookmarkStart w:id="43" w:name="_Toc126165786"/>
      <w:bookmarkStart w:id="44" w:name="_Toc126932450"/>
      <w:bookmarkStart w:id="45" w:name="_Toc126934739"/>
      <w:r>
        <w:t xml:space="preserve">NZ </w:t>
      </w:r>
      <w:r w:rsidRPr="00373A8F">
        <w:t>Disability</w:t>
      </w:r>
      <w:r>
        <w:t xml:space="preserve"> Strategy &amp; </w:t>
      </w:r>
      <w:bookmarkEnd w:id="38"/>
      <w:bookmarkEnd w:id="41"/>
      <w:bookmarkEnd w:id="42"/>
      <w:bookmarkEnd w:id="43"/>
      <w:bookmarkEnd w:id="44"/>
      <w:proofErr w:type="spellStart"/>
      <w:r w:rsidR="00665310" w:rsidRPr="00665310">
        <w:t>Te</w:t>
      </w:r>
      <w:proofErr w:type="spellEnd"/>
      <w:r w:rsidR="00665310" w:rsidRPr="00665310">
        <w:t xml:space="preserve"> </w:t>
      </w:r>
      <w:proofErr w:type="spellStart"/>
      <w:r w:rsidR="00665310" w:rsidRPr="00665310">
        <w:t>Tiriti</w:t>
      </w:r>
      <w:proofErr w:type="spellEnd"/>
      <w:r w:rsidR="00665310" w:rsidRPr="00665310">
        <w:t xml:space="preserve"> o Waitangi</w:t>
      </w:r>
      <w:bookmarkEnd w:id="45"/>
    </w:p>
    <w:p w14:paraId="668D6ACB" w14:textId="7EA2579D" w:rsidR="003D6F4C" w:rsidRPr="003D6F4C" w:rsidRDefault="003D6F4C" w:rsidP="00CF2897">
      <w:pPr>
        <w:pStyle w:val="Heading4"/>
      </w:pPr>
      <w:r w:rsidRPr="003D6F4C">
        <w:t xml:space="preserve">NZ Disability Strategy 2016-2026 </w:t>
      </w:r>
      <w:r w:rsidRPr="00CF2897">
        <w:t>Principles</w:t>
      </w:r>
      <w:r w:rsidRPr="003D6F4C">
        <w:t xml:space="preserve"> &amp; Approaches </w:t>
      </w:r>
      <w:bookmarkEnd w:id="28"/>
      <w:bookmarkEnd w:id="29"/>
      <w:bookmarkEnd w:id="30"/>
    </w:p>
    <w:p w14:paraId="5A46D987" w14:textId="5963A32C" w:rsidR="003D6F4C" w:rsidRPr="003D6F4C" w:rsidRDefault="003D6F4C" w:rsidP="003D6F4C">
      <w:pPr>
        <w:rPr>
          <w:lang w:val="en-NZ"/>
        </w:rPr>
      </w:pPr>
      <w:r w:rsidRPr="003D6F4C">
        <w:rPr>
          <w:lang w:val="en-NZ"/>
        </w:rPr>
        <w:t xml:space="preserve">The principles of both </w:t>
      </w:r>
      <w:proofErr w:type="spellStart"/>
      <w:r w:rsidRPr="003D6F4C">
        <w:rPr>
          <w:lang w:val="en-NZ"/>
        </w:rPr>
        <w:t>Te</w:t>
      </w:r>
      <w:proofErr w:type="spellEnd"/>
      <w:r w:rsidRPr="003D6F4C">
        <w:rPr>
          <w:lang w:val="en-NZ"/>
        </w:rPr>
        <w:t xml:space="preserve"> </w:t>
      </w:r>
      <w:proofErr w:type="spellStart"/>
      <w:r w:rsidRPr="003D6F4C">
        <w:rPr>
          <w:lang w:val="en-NZ"/>
        </w:rPr>
        <w:t>Tiriti</w:t>
      </w:r>
      <w:proofErr w:type="spellEnd"/>
      <w:r w:rsidRPr="003D6F4C">
        <w:rPr>
          <w:lang w:val="en-NZ"/>
        </w:rPr>
        <w:t xml:space="preserve"> o Waitangi and the Convention</w:t>
      </w:r>
      <w:r w:rsidR="00461E84">
        <w:rPr>
          <w:lang w:val="en-NZ"/>
        </w:rPr>
        <w:t xml:space="preserve"> [UNCRPD, see below]</w:t>
      </w:r>
      <w:r w:rsidRPr="003D6F4C">
        <w:rPr>
          <w:lang w:val="en-NZ"/>
        </w:rPr>
        <w:t xml:space="preserve"> will be reflected in the way </w:t>
      </w:r>
      <w:r w:rsidR="00461E84">
        <w:rPr>
          <w:lang w:val="en-NZ"/>
        </w:rPr>
        <w:t>[the NZ Disability]</w:t>
      </w:r>
      <w:r w:rsidRPr="003D6F4C">
        <w:rPr>
          <w:lang w:val="en-NZ"/>
        </w:rPr>
        <w:t xml:space="preserve"> Strategy is implemented; they are for everyone and apply to Māori and non-Māori, disabled people and non-disabled people. The principles are a framework for building a positive relationship between disabled people and the Government. </w:t>
      </w:r>
    </w:p>
    <w:p w14:paraId="6B14083A" w14:textId="77777777" w:rsidR="003D6F4C" w:rsidRPr="003D6F4C" w:rsidRDefault="003D6F4C" w:rsidP="00CF2897">
      <w:pPr>
        <w:pStyle w:val="Heading4"/>
        <w:rPr>
          <w:lang w:val="en-NZ"/>
        </w:rPr>
      </w:pPr>
      <w:bookmarkStart w:id="46" w:name="_Toc110961277"/>
      <w:bookmarkStart w:id="47" w:name="_Toc111489494"/>
      <w:bookmarkStart w:id="48" w:name="_Toc117699088"/>
      <w:r w:rsidRPr="003D6F4C">
        <w:rPr>
          <w:lang w:val="en-NZ"/>
        </w:rPr>
        <w:t xml:space="preserve">Principles of </w:t>
      </w:r>
      <w:proofErr w:type="spellStart"/>
      <w:r w:rsidRPr="003D6F4C">
        <w:rPr>
          <w:lang w:val="en-NZ"/>
        </w:rPr>
        <w:t>Te</w:t>
      </w:r>
      <w:proofErr w:type="spellEnd"/>
      <w:r w:rsidRPr="003D6F4C">
        <w:rPr>
          <w:lang w:val="en-NZ"/>
        </w:rPr>
        <w:t xml:space="preserve"> </w:t>
      </w:r>
      <w:proofErr w:type="spellStart"/>
      <w:r w:rsidRPr="003D6F4C">
        <w:rPr>
          <w:lang w:val="en-NZ"/>
        </w:rPr>
        <w:t>Tiriti</w:t>
      </w:r>
      <w:proofErr w:type="spellEnd"/>
      <w:r w:rsidRPr="003D6F4C">
        <w:rPr>
          <w:lang w:val="en-NZ"/>
        </w:rPr>
        <w:t xml:space="preserve"> o </w:t>
      </w:r>
      <w:r w:rsidRPr="00373A8F">
        <w:t>Waitangi</w:t>
      </w:r>
      <w:bookmarkEnd w:id="46"/>
      <w:bookmarkEnd w:id="47"/>
      <w:bookmarkEnd w:id="48"/>
      <w:r w:rsidRPr="003D6F4C">
        <w:rPr>
          <w:lang w:val="en-NZ"/>
        </w:rPr>
        <w:t xml:space="preserve"> </w:t>
      </w:r>
    </w:p>
    <w:p w14:paraId="7A8C8065" w14:textId="750733F5" w:rsidR="003D6F4C" w:rsidRPr="003D6F4C" w:rsidRDefault="003D6F4C" w:rsidP="003D6F4C">
      <w:pPr>
        <w:rPr>
          <w:lang w:val="en-NZ"/>
        </w:rPr>
      </w:pPr>
      <w:r w:rsidRPr="003D6F4C">
        <w:rPr>
          <w:lang w:val="en-NZ"/>
        </w:rPr>
        <w:t xml:space="preserve">The </w:t>
      </w:r>
      <w:r w:rsidR="00461E84">
        <w:rPr>
          <w:lang w:val="en-NZ"/>
        </w:rPr>
        <w:t>[</w:t>
      </w:r>
      <w:r w:rsidR="00461E84">
        <w:rPr>
          <w:lang w:val="en-NZ"/>
        </w:rPr>
        <w:t>NZ Disability]</w:t>
      </w:r>
      <w:r w:rsidR="00461E84" w:rsidRPr="003D6F4C">
        <w:rPr>
          <w:lang w:val="en-NZ"/>
        </w:rPr>
        <w:t xml:space="preserve"> </w:t>
      </w:r>
      <w:r w:rsidRPr="003D6F4C">
        <w:rPr>
          <w:lang w:val="en-NZ"/>
        </w:rPr>
        <w:t xml:space="preserve">Strategy will be guided by the principles of </w:t>
      </w:r>
      <w:proofErr w:type="spellStart"/>
      <w:r w:rsidRPr="003D6F4C">
        <w:rPr>
          <w:lang w:val="en-NZ"/>
        </w:rPr>
        <w:t>Te</w:t>
      </w:r>
      <w:proofErr w:type="spellEnd"/>
      <w:r w:rsidRPr="003D6F4C">
        <w:rPr>
          <w:lang w:val="en-NZ"/>
        </w:rPr>
        <w:t xml:space="preserve"> </w:t>
      </w:r>
      <w:proofErr w:type="spellStart"/>
      <w:r w:rsidRPr="003D6F4C">
        <w:rPr>
          <w:lang w:val="en-NZ"/>
        </w:rPr>
        <w:t>Tiriti</w:t>
      </w:r>
      <w:proofErr w:type="spellEnd"/>
      <w:r w:rsidRPr="003D6F4C">
        <w:rPr>
          <w:lang w:val="en-NZ"/>
        </w:rPr>
        <w:t xml:space="preserve"> o Waitangi as the founding document of our country. </w:t>
      </w:r>
    </w:p>
    <w:p w14:paraId="7B268F1C" w14:textId="77777777" w:rsidR="003D6F4C" w:rsidRPr="003D6F4C" w:rsidRDefault="003D6F4C" w:rsidP="003D6F4C">
      <w:pPr>
        <w:rPr>
          <w:lang w:val="en-NZ"/>
        </w:rPr>
      </w:pPr>
      <w:r w:rsidRPr="003D6F4C">
        <w:rPr>
          <w:lang w:val="en-NZ"/>
        </w:rPr>
        <w:t xml:space="preserve">The principles of the Treaty are: </w:t>
      </w:r>
    </w:p>
    <w:p w14:paraId="114D1F15" w14:textId="77777777" w:rsidR="003D6F4C" w:rsidRPr="00373A8F" w:rsidRDefault="003D6F4C" w:rsidP="00373A8F">
      <w:r w:rsidRPr="003D6F4C">
        <w:rPr>
          <w:b/>
          <w:bCs/>
          <w:lang w:val="en-US"/>
        </w:rPr>
        <w:t xml:space="preserve">Partnership: </w:t>
      </w:r>
      <w:r w:rsidRPr="00373A8F">
        <w:t xml:space="preserve">Māori and the Crown have a relationship of good faith, mutual respect and understanding, and shared decision-making. </w:t>
      </w:r>
    </w:p>
    <w:p w14:paraId="56AE307C" w14:textId="55F3C150" w:rsidR="003D6F4C" w:rsidRPr="003D6F4C" w:rsidRDefault="003D6F4C" w:rsidP="003D6F4C">
      <w:pPr>
        <w:rPr>
          <w:lang w:val="en-US"/>
        </w:rPr>
      </w:pPr>
      <w:r w:rsidRPr="003D6F4C">
        <w:rPr>
          <w:b/>
          <w:bCs/>
          <w:lang w:val="en-US"/>
        </w:rPr>
        <w:t xml:space="preserve">Participation: </w:t>
      </w:r>
      <w:r w:rsidR="009F6075" w:rsidRPr="003D6F4C">
        <w:rPr>
          <w:lang w:val="en-US"/>
        </w:rPr>
        <w:t>The</w:t>
      </w:r>
      <w:r w:rsidRPr="003D6F4C">
        <w:rPr>
          <w:lang w:val="en-US"/>
        </w:rPr>
        <w:t xml:space="preserve"> Crown and Māori will work together to ensure Māori (including whānau, </w:t>
      </w:r>
      <w:proofErr w:type="spellStart"/>
      <w:r w:rsidRPr="003D6F4C">
        <w:rPr>
          <w:lang w:val="en-US"/>
        </w:rPr>
        <w:t>hapū</w:t>
      </w:r>
      <w:proofErr w:type="spellEnd"/>
      <w:r w:rsidRPr="003D6F4C">
        <w:rPr>
          <w:lang w:val="en-US"/>
        </w:rPr>
        <w:t xml:space="preserve">, iwi and communities) participate at all levels of decision-making. This includes the right to seek opportunities for self-determination and self-management. </w:t>
      </w:r>
    </w:p>
    <w:p w14:paraId="7386E64D" w14:textId="13B35846" w:rsidR="003D6F4C" w:rsidRPr="003D6F4C" w:rsidRDefault="003D6F4C" w:rsidP="003D6F4C">
      <w:pPr>
        <w:rPr>
          <w:lang w:val="en-US"/>
        </w:rPr>
      </w:pPr>
      <w:r w:rsidRPr="003D6F4C">
        <w:rPr>
          <w:b/>
          <w:bCs/>
          <w:lang w:val="en-US"/>
        </w:rPr>
        <w:t xml:space="preserve">Protection: </w:t>
      </w:r>
      <w:r w:rsidR="009F6075" w:rsidRPr="003D6F4C">
        <w:rPr>
          <w:lang w:val="en-US"/>
        </w:rPr>
        <w:t>The</w:t>
      </w:r>
      <w:r w:rsidRPr="003D6F4C">
        <w:rPr>
          <w:lang w:val="en-US"/>
        </w:rPr>
        <w:t xml:space="preserve"> Crown actively contributes to improving the wellbeing of Māori, including support for independent living and the protection of Māori property and identity, in accordance with Māori values. Māori have the same rights and privileges as other citizens.</w:t>
      </w:r>
    </w:p>
    <w:p w14:paraId="47E6590B" w14:textId="22A2F1B9" w:rsidR="00153C79" w:rsidRPr="00153C79" w:rsidRDefault="003D6F4C" w:rsidP="00153C79">
      <w:pPr>
        <w:pStyle w:val="Heading3"/>
        <w:rPr>
          <w:lang w:val="en-NZ"/>
        </w:rPr>
      </w:pPr>
      <w:bookmarkStart w:id="49" w:name="_Toc110961278"/>
      <w:bookmarkStart w:id="50" w:name="_Toc111489495"/>
      <w:bookmarkStart w:id="51" w:name="_Toc117699089"/>
      <w:bookmarkStart w:id="52" w:name="_Toc121934133"/>
      <w:bookmarkStart w:id="53" w:name="_Toc122532838"/>
      <w:bookmarkStart w:id="54" w:name="_Toc125380829"/>
      <w:bookmarkStart w:id="55" w:name="_Toc126165787"/>
      <w:bookmarkStart w:id="56" w:name="_Toc126932451"/>
      <w:bookmarkStart w:id="57" w:name="_Toc126934740"/>
      <w:r w:rsidRPr="003D6F4C">
        <w:rPr>
          <w:lang w:val="en-NZ"/>
        </w:rPr>
        <w:t xml:space="preserve">Principles of the </w:t>
      </w:r>
      <w:r w:rsidR="00153C79">
        <w:rPr>
          <w:lang w:val="en-NZ"/>
        </w:rPr>
        <w:t xml:space="preserve">United Nations </w:t>
      </w:r>
      <w:r w:rsidRPr="00373A8F">
        <w:t>Convention</w:t>
      </w:r>
      <w:r w:rsidRPr="003D6F4C">
        <w:rPr>
          <w:lang w:val="en-NZ"/>
        </w:rPr>
        <w:t xml:space="preserve"> on the Rights of Persons with Disabilities</w:t>
      </w:r>
      <w:bookmarkEnd w:id="49"/>
      <w:bookmarkEnd w:id="50"/>
      <w:bookmarkEnd w:id="51"/>
      <w:bookmarkEnd w:id="52"/>
      <w:r w:rsidRPr="003D6F4C">
        <w:rPr>
          <w:lang w:val="en-NZ"/>
        </w:rPr>
        <w:t xml:space="preserve"> </w:t>
      </w:r>
      <w:r w:rsidR="00153C79" w:rsidRPr="00153C79">
        <w:rPr>
          <w:lang w:val="en-NZ"/>
        </w:rPr>
        <w:t>(</w:t>
      </w:r>
      <w:hyperlink r:id="rId10" w:history="1">
        <w:r w:rsidR="001748B3" w:rsidRPr="00CD2221">
          <w:rPr>
            <w:rStyle w:val="Hyperlink"/>
            <w:lang w:val="en-NZ"/>
          </w:rPr>
          <w:t>UN</w:t>
        </w:r>
        <w:r w:rsidR="00153C79" w:rsidRPr="00CD2221">
          <w:rPr>
            <w:rStyle w:val="Hyperlink"/>
            <w:lang w:val="en-NZ"/>
          </w:rPr>
          <w:t>CRPD</w:t>
        </w:r>
      </w:hyperlink>
      <w:r w:rsidR="00153C79" w:rsidRPr="00153C79">
        <w:rPr>
          <w:lang w:val="en-NZ"/>
        </w:rPr>
        <w:t>)</w:t>
      </w:r>
      <w:bookmarkEnd w:id="53"/>
      <w:bookmarkEnd w:id="54"/>
      <w:bookmarkEnd w:id="55"/>
      <w:bookmarkEnd w:id="56"/>
      <w:bookmarkEnd w:id="57"/>
    </w:p>
    <w:p w14:paraId="7CDF175A" w14:textId="77777777" w:rsidR="003D6F4C" w:rsidRPr="003D6F4C" w:rsidRDefault="003D6F4C" w:rsidP="003D6F4C">
      <w:pPr>
        <w:rPr>
          <w:lang w:val="en-NZ"/>
        </w:rPr>
      </w:pPr>
      <w:r w:rsidRPr="003D6F4C">
        <w:rPr>
          <w:lang w:val="en-NZ"/>
        </w:rPr>
        <w:t xml:space="preserve">The principles of the Convention are: </w:t>
      </w:r>
    </w:p>
    <w:p w14:paraId="158FD1FB" w14:textId="77777777" w:rsidR="003D6F4C" w:rsidRPr="00153C79" w:rsidRDefault="003D6F4C">
      <w:pPr>
        <w:pStyle w:val="ListParagraph"/>
        <w:numPr>
          <w:ilvl w:val="0"/>
          <w:numId w:val="4"/>
        </w:numPr>
        <w:rPr>
          <w:lang w:val="en-US"/>
        </w:rPr>
      </w:pPr>
      <w:r w:rsidRPr="00153C79">
        <w:rPr>
          <w:lang w:val="en-US"/>
        </w:rPr>
        <w:t xml:space="preserve">Respect for inherent dignity, individual autonomy including the freedom to make one’s own choices, and independence of persons </w:t>
      </w:r>
    </w:p>
    <w:p w14:paraId="49774E71" w14:textId="77777777" w:rsidR="003D6F4C" w:rsidRPr="00153C79" w:rsidRDefault="003D6F4C">
      <w:pPr>
        <w:pStyle w:val="ListParagraph"/>
        <w:numPr>
          <w:ilvl w:val="0"/>
          <w:numId w:val="4"/>
        </w:numPr>
        <w:rPr>
          <w:lang w:val="en-US"/>
        </w:rPr>
      </w:pPr>
      <w:r w:rsidRPr="00153C79">
        <w:rPr>
          <w:lang w:val="en-US"/>
        </w:rPr>
        <w:t xml:space="preserve">Non-discrimination </w:t>
      </w:r>
    </w:p>
    <w:p w14:paraId="0109311A" w14:textId="77777777" w:rsidR="003D6F4C" w:rsidRPr="00153C79" w:rsidRDefault="003D6F4C">
      <w:pPr>
        <w:pStyle w:val="ListParagraph"/>
        <w:numPr>
          <w:ilvl w:val="0"/>
          <w:numId w:val="4"/>
        </w:numPr>
        <w:rPr>
          <w:lang w:val="en-US"/>
        </w:rPr>
      </w:pPr>
      <w:r w:rsidRPr="00153C79">
        <w:rPr>
          <w:lang w:val="en-US"/>
        </w:rPr>
        <w:t xml:space="preserve">Full and effective participation and inclusion in society </w:t>
      </w:r>
    </w:p>
    <w:p w14:paraId="58AD6313" w14:textId="77777777" w:rsidR="003D6F4C" w:rsidRPr="00153C79" w:rsidRDefault="003D6F4C">
      <w:pPr>
        <w:pStyle w:val="ListParagraph"/>
        <w:numPr>
          <w:ilvl w:val="0"/>
          <w:numId w:val="4"/>
        </w:numPr>
        <w:rPr>
          <w:lang w:val="en-US"/>
        </w:rPr>
      </w:pPr>
      <w:r w:rsidRPr="00153C79">
        <w:rPr>
          <w:lang w:val="en-US"/>
        </w:rPr>
        <w:t xml:space="preserve">Respect for difference and acceptance of disabled people as part of human diversity and humanity </w:t>
      </w:r>
    </w:p>
    <w:p w14:paraId="0EBEA553" w14:textId="77777777" w:rsidR="003D6F4C" w:rsidRPr="00153C79" w:rsidRDefault="003D6F4C">
      <w:pPr>
        <w:pStyle w:val="ListParagraph"/>
        <w:numPr>
          <w:ilvl w:val="0"/>
          <w:numId w:val="4"/>
        </w:numPr>
        <w:rPr>
          <w:lang w:val="en-US"/>
        </w:rPr>
      </w:pPr>
      <w:r w:rsidRPr="00153C79">
        <w:rPr>
          <w:lang w:val="en-US"/>
        </w:rPr>
        <w:t xml:space="preserve">Equality of opportunity </w:t>
      </w:r>
    </w:p>
    <w:p w14:paraId="42D922CA" w14:textId="77777777" w:rsidR="003D6F4C" w:rsidRPr="00153C79" w:rsidRDefault="003D6F4C">
      <w:pPr>
        <w:pStyle w:val="ListParagraph"/>
        <w:numPr>
          <w:ilvl w:val="0"/>
          <w:numId w:val="4"/>
        </w:numPr>
        <w:rPr>
          <w:lang w:val="en-US"/>
        </w:rPr>
      </w:pPr>
      <w:r w:rsidRPr="00153C79">
        <w:rPr>
          <w:lang w:val="en-US"/>
        </w:rPr>
        <w:t xml:space="preserve">Accessibility </w:t>
      </w:r>
    </w:p>
    <w:p w14:paraId="1F187DB8" w14:textId="4E59617A" w:rsidR="003D6F4C" w:rsidRPr="00153C79" w:rsidRDefault="003D6F4C">
      <w:pPr>
        <w:pStyle w:val="ListParagraph"/>
        <w:numPr>
          <w:ilvl w:val="0"/>
          <w:numId w:val="4"/>
        </w:numPr>
        <w:rPr>
          <w:lang w:val="en-US"/>
        </w:rPr>
      </w:pPr>
      <w:r w:rsidRPr="00153C79">
        <w:rPr>
          <w:lang w:val="en-US"/>
        </w:rPr>
        <w:t>Equality between men</w:t>
      </w:r>
      <w:r w:rsidR="001748B3">
        <w:rPr>
          <w:lang w:val="en-US"/>
        </w:rPr>
        <w:t>,</w:t>
      </w:r>
      <w:r w:rsidRPr="00153C79">
        <w:rPr>
          <w:lang w:val="en-US"/>
        </w:rPr>
        <w:t xml:space="preserve"> women</w:t>
      </w:r>
      <w:r w:rsidR="001748B3">
        <w:rPr>
          <w:lang w:val="en-US"/>
        </w:rPr>
        <w:t>, and gender diverse people</w:t>
      </w:r>
      <w:r w:rsidRPr="00153C79">
        <w:rPr>
          <w:lang w:val="en-US"/>
        </w:rPr>
        <w:t xml:space="preserve"> </w:t>
      </w:r>
    </w:p>
    <w:p w14:paraId="099BC99F" w14:textId="0CCAA578" w:rsidR="003D6F4C" w:rsidRPr="00153C79" w:rsidRDefault="003D6F4C">
      <w:pPr>
        <w:pStyle w:val="ListParagraph"/>
        <w:numPr>
          <w:ilvl w:val="0"/>
          <w:numId w:val="4"/>
        </w:numPr>
        <w:rPr>
          <w:lang w:val="en-US"/>
        </w:rPr>
      </w:pPr>
      <w:r w:rsidRPr="00153C79">
        <w:rPr>
          <w:lang w:val="en-US"/>
        </w:rPr>
        <w:t xml:space="preserve">Respect for the evolving capacities of disabled children and respect for the right of disabled children to preserve their identities. </w:t>
      </w:r>
    </w:p>
    <w:p w14:paraId="553AB3ED" w14:textId="481561F0" w:rsidR="00153C79" w:rsidRPr="00153C79" w:rsidRDefault="00153C79">
      <w:pPr>
        <w:pStyle w:val="ListParagraph"/>
        <w:numPr>
          <w:ilvl w:val="0"/>
          <w:numId w:val="4"/>
        </w:numPr>
        <w:rPr>
          <w:lang w:val="en-US"/>
        </w:rPr>
      </w:pPr>
      <w:r w:rsidRPr="003D6F4C">
        <w:t>Ensuring disabled people are involved in decision-making that impacts them</w:t>
      </w:r>
    </w:p>
    <w:p w14:paraId="38D4312A" w14:textId="77777777" w:rsidR="00373A8F" w:rsidRDefault="00373A8F" w:rsidP="003D6F4C">
      <w:pPr>
        <w:rPr>
          <w:b/>
        </w:rPr>
      </w:pPr>
      <w:bookmarkStart w:id="58" w:name="_Toc110961280"/>
      <w:bookmarkStart w:id="59" w:name="_Toc111489497"/>
      <w:bookmarkStart w:id="60" w:name="_Toc117699091"/>
    </w:p>
    <w:p w14:paraId="49A22F3E" w14:textId="77777777" w:rsidR="008869C2" w:rsidRDefault="008869C2">
      <w:pPr>
        <w:rPr>
          <w:rFonts w:eastAsiaTheme="majorEastAsia" w:cstheme="majorBidi"/>
          <w:b/>
          <w:color w:val="000000" w:themeColor="text1"/>
          <w:sz w:val="26"/>
          <w:szCs w:val="26"/>
        </w:rPr>
      </w:pPr>
      <w:bookmarkStart w:id="61" w:name="_Toc121934134"/>
      <w:bookmarkStart w:id="62" w:name="_Toc122532839"/>
      <w:bookmarkStart w:id="63" w:name="_Toc125380830"/>
      <w:r>
        <w:br w:type="page"/>
      </w:r>
    </w:p>
    <w:p w14:paraId="75BFB93C" w14:textId="6E7996FC" w:rsidR="003D6F4C" w:rsidRPr="003D6F4C" w:rsidRDefault="00CF2897" w:rsidP="00CF2897">
      <w:pPr>
        <w:pStyle w:val="Heading2"/>
      </w:pPr>
      <w:bookmarkStart w:id="64" w:name="_Toc126165788"/>
      <w:bookmarkStart w:id="65" w:name="_Toc126932452"/>
      <w:bookmarkStart w:id="66" w:name="_Toc126934741"/>
      <w:r>
        <w:lastRenderedPageBreak/>
        <w:t>Glossary and</w:t>
      </w:r>
      <w:r w:rsidR="003D6F4C" w:rsidRPr="003D6F4C">
        <w:t xml:space="preserve"> Key Definitions</w:t>
      </w:r>
      <w:bookmarkEnd w:id="58"/>
      <w:bookmarkEnd w:id="59"/>
      <w:bookmarkEnd w:id="60"/>
      <w:bookmarkEnd w:id="61"/>
      <w:bookmarkEnd w:id="62"/>
      <w:bookmarkEnd w:id="63"/>
      <w:bookmarkEnd w:id="64"/>
      <w:bookmarkEnd w:id="65"/>
      <w:bookmarkEnd w:id="66"/>
    </w:p>
    <w:p w14:paraId="4F16ECEC" w14:textId="77777777" w:rsidR="009B03AD" w:rsidRPr="009B03AD" w:rsidRDefault="009B03AD" w:rsidP="009B03AD">
      <w:pPr>
        <w:pStyle w:val="Heading4"/>
        <w:rPr>
          <w:bCs/>
          <w:lang w:val="en-NZ"/>
        </w:rPr>
      </w:pPr>
      <w:bookmarkStart w:id="67" w:name="_Toc110961281"/>
      <w:bookmarkStart w:id="68" w:name="_Toc111489498"/>
      <w:bookmarkStart w:id="69" w:name="_Toc117699092"/>
      <w:r w:rsidRPr="009B03AD">
        <w:rPr>
          <w:bCs/>
          <w:lang w:val="en-NZ"/>
        </w:rPr>
        <w:t>Ableism</w:t>
      </w:r>
    </w:p>
    <w:p w14:paraId="7AB87208" w14:textId="03ADD9AA" w:rsidR="009B03AD" w:rsidRDefault="00665310" w:rsidP="009B03AD">
      <w:pPr>
        <w:rPr>
          <w:lang w:val="en-NZ"/>
        </w:rPr>
      </w:pPr>
      <w:r w:rsidRPr="006B3421">
        <w:rPr>
          <w:i/>
          <w:iCs/>
          <w:lang w:val="en-NZ"/>
        </w:rPr>
        <w:t>Ableism</w:t>
      </w:r>
      <w:r w:rsidRPr="00665310">
        <w:rPr>
          <w:lang w:val="en-NZ"/>
        </w:rPr>
        <w:t xml:space="preserve"> is a set of stereotypes and practices that devalue and discriminate against people with disabilities. It assumes that the bodies and minds of non-disabled people are the “default,” placing value on them based on society’s perceptions of what’s considered “normal.”</w:t>
      </w:r>
    </w:p>
    <w:p w14:paraId="520BE973" w14:textId="5D74D85D" w:rsidR="00665310" w:rsidRPr="009B03AD" w:rsidRDefault="00665310" w:rsidP="009B03AD">
      <w:pPr>
        <w:rPr>
          <w:lang w:val="en-NZ"/>
        </w:rPr>
      </w:pPr>
      <w:r>
        <w:rPr>
          <w:lang w:val="en-NZ"/>
        </w:rPr>
        <w:t xml:space="preserve">Source: </w:t>
      </w:r>
      <w:hyperlink r:id="rId11" w:history="1">
        <w:r w:rsidRPr="00665310">
          <w:rPr>
            <w:rStyle w:val="Hyperlink"/>
            <w:lang w:val="en-NZ"/>
          </w:rPr>
          <w:t>Disability &amp; Philanthropy Forum</w:t>
        </w:r>
      </w:hyperlink>
    </w:p>
    <w:p w14:paraId="5F730A92" w14:textId="018587D4" w:rsidR="00CC5D96" w:rsidRDefault="00CC5D96" w:rsidP="00253884">
      <w:pPr>
        <w:pStyle w:val="Heading4"/>
      </w:pPr>
      <w:r>
        <w:t>Access Rider</w:t>
      </w:r>
    </w:p>
    <w:p w14:paraId="6082D45E" w14:textId="531DF3F5" w:rsidR="00CC5D96" w:rsidRPr="00CC5D96" w:rsidRDefault="00CC5D96" w:rsidP="00CC5D96">
      <w:r>
        <w:rPr>
          <w:shd w:val="clear" w:color="auto" w:fill="FFFFFF"/>
        </w:rPr>
        <w:t xml:space="preserve">An </w:t>
      </w:r>
      <w:r w:rsidRPr="006B3421">
        <w:rPr>
          <w:i/>
          <w:iCs/>
          <w:shd w:val="clear" w:color="auto" w:fill="FFFFFF"/>
        </w:rPr>
        <w:t>access rider</w:t>
      </w:r>
      <w:r>
        <w:rPr>
          <w:shd w:val="clear" w:color="auto" w:fill="FFFFFF"/>
        </w:rPr>
        <w:t xml:space="preserve"> is a document that outlines an individual’s access needs to let people they work with know how to ensure the individual has equal access to work.</w:t>
      </w:r>
    </w:p>
    <w:p w14:paraId="156B5F0A" w14:textId="4CE3EFCB" w:rsidR="00C22087" w:rsidRDefault="00C22087" w:rsidP="00253884">
      <w:pPr>
        <w:pStyle w:val="Heading4"/>
      </w:pPr>
      <w:r w:rsidRPr="00CF2897">
        <w:t>Accessibility</w:t>
      </w:r>
      <w:r>
        <w:t xml:space="preserve"> </w:t>
      </w:r>
    </w:p>
    <w:p w14:paraId="0FBB36B7" w14:textId="705EAD82" w:rsidR="009F6075" w:rsidRDefault="009F6075" w:rsidP="00C22087">
      <w:r w:rsidRPr="006B3421">
        <w:rPr>
          <w:i/>
          <w:iCs/>
        </w:rPr>
        <w:t>Accessibility</w:t>
      </w:r>
      <w:r w:rsidRPr="009F6075">
        <w:t xml:space="preserve"> is the practice of making information, activities, and/or environments sensible, meaningful, and usable for as many people as possible.</w:t>
      </w:r>
      <w:r>
        <w:t xml:space="preserve"> </w:t>
      </w:r>
    </w:p>
    <w:p w14:paraId="7B335360" w14:textId="30BEF516" w:rsidR="00CD2221" w:rsidRDefault="00CD2221" w:rsidP="00C22087">
      <w:pPr>
        <w:rPr>
          <w:rStyle w:val="Hyperlink"/>
        </w:rPr>
      </w:pPr>
      <w:r>
        <w:t xml:space="preserve">Source: </w:t>
      </w:r>
      <w:hyperlink r:id="rId12" w:history="1">
        <w:r w:rsidRPr="00CD2221">
          <w:rPr>
            <w:rStyle w:val="Hyperlink"/>
          </w:rPr>
          <w:t xml:space="preserve">See Write </w:t>
        </w:r>
        <w:proofErr w:type="gramStart"/>
        <w:r w:rsidRPr="00CD2221">
          <w:rPr>
            <w:rStyle w:val="Hyperlink"/>
          </w:rPr>
          <w:t>Hear</w:t>
        </w:r>
        <w:proofErr w:type="gramEnd"/>
      </w:hyperlink>
    </w:p>
    <w:p w14:paraId="5AA1CCAE" w14:textId="7A8F2EF7" w:rsidR="001A5477" w:rsidRDefault="001A5477" w:rsidP="00C22087">
      <w:r>
        <w:t>‘</w:t>
      </w:r>
      <w:r w:rsidRPr="00B56272">
        <w:t>Accessibility is</w:t>
      </w:r>
      <w:r>
        <w:t xml:space="preserve"> [also]</w:t>
      </w:r>
      <w:r w:rsidRPr="00B56272">
        <w:t xml:space="preserve"> what we should expect to be in place for disabled people without asking or planning. Accommodation is for adaptations that cannot be reasonably anticipated.</w:t>
      </w:r>
      <w:r>
        <w:t>’</w:t>
      </w:r>
      <w:r w:rsidRPr="00B56272">
        <w:t xml:space="preserve"> (NZ Disability Strategy)</w:t>
      </w:r>
    </w:p>
    <w:p w14:paraId="5476533D" w14:textId="77777777" w:rsidR="009B03AD" w:rsidRPr="009B03AD" w:rsidRDefault="009B03AD" w:rsidP="009B03AD">
      <w:pPr>
        <w:pStyle w:val="Heading4"/>
        <w:rPr>
          <w:bCs/>
          <w:lang w:val="en-NZ"/>
        </w:rPr>
      </w:pPr>
      <w:r w:rsidRPr="009B03AD">
        <w:rPr>
          <w:bCs/>
          <w:lang w:val="en-NZ"/>
        </w:rPr>
        <w:t>Co-design</w:t>
      </w:r>
    </w:p>
    <w:p w14:paraId="30EFD833" w14:textId="398D14B0" w:rsidR="009B03AD" w:rsidRPr="009B03AD" w:rsidRDefault="009B03AD" w:rsidP="009B03AD">
      <w:pPr>
        <w:rPr>
          <w:lang w:val="en-NZ"/>
        </w:rPr>
      </w:pPr>
      <w:r w:rsidRPr="006B3421">
        <w:rPr>
          <w:i/>
          <w:iCs/>
          <w:lang w:val="en-NZ"/>
        </w:rPr>
        <w:t>Co-design</w:t>
      </w:r>
      <w:r w:rsidRPr="009B03AD">
        <w:rPr>
          <w:lang w:val="en-NZ"/>
        </w:rPr>
        <w:t xml:space="preserve"> is the process of policy design in which the community and stakeholders that will be impacted by the policy are involved in the design process as experts in their own lives and experience. </w:t>
      </w:r>
    </w:p>
    <w:p w14:paraId="51B06FD3" w14:textId="63E70676" w:rsidR="00C22087" w:rsidRDefault="00C22087" w:rsidP="00253884">
      <w:pPr>
        <w:pStyle w:val="Heading4"/>
      </w:pPr>
      <w:r>
        <w:t xml:space="preserve">Cultural </w:t>
      </w:r>
      <w:r w:rsidRPr="00253884">
        <w:t>Safety</w:t>
      </w:r>
      <w:r>
        <w:t xml:space="preserve"> </w:t>
      </w:r>
    </w:p>
    <w:p w14:paraId="1BAE7B61" w14:textId="73BDA1E0" w:rsidR="00481E73" w:rsidRDefault="00481E73" w:rsidP="00481E73">
      <w:pPr>
        <w:rPr>
          <w:shd w:val="clear" w:color="auto" w:fill="FFFFFF"/>
        </w:rPr>
      </w:pPr>
      <w:r w:rsidRPr="006B3421">
        <w:rPr>
          <w:i/>
          <w:iCs/>
          <w:shd w:val="clear" w:color="auto" w:fill="FFFFFF"/>
        </w:rPr>
        <w:t>Cultural safety</w:t>
      </w:r>
      <w:r>
        <w:rPr>
          <w:shd w:val="clear" w:color="auto" w:fill="FFFFFF"/>
        </w:rPr>
        <w:t xml:space="preserve"> is recognising and respecting the cultural identities of others, and safely meeting their needs, expectations, and rights, contributing to the achievement of positive health outcomes and experiences. </w:t>
      </w:r>
    </w:p>
    <w:p w14:paraId="4CF7FF97" w14:textId="07F4FB6F" w:rsidR="00CD2221" w:rsidRDefault="00CD2221" w:rsidP="00481E73">
      <w:pPr>
        <w:rPr>
          <w:shd w:val="clear" w:color="auto" w:fill="FFFFFF"/>
        </w:rPr>
      </w:pPr>
      <w:r>
        <w:rPr>
          <w:shd w:val="clear" w:color="auto" w:fill="FFFFFF"/>
        </w:rPr>
        <w:t xml:space="preserve">Source: </w:t>
      </w:r>
      <w:hyperlink r:id="rId13" w:anchor=":~:text=Cultural%20safety%20is%20recognising%20and,needed%20to%20achieve%20cultural%20safety." w:history="1">
        <w:r w:rsidRPr="00CD2221">
          <w:rPr>
            <w:rStyle w:val="Hyperlink"/>
            <w:shd w:val="clear" w:color="auto" w:fill="FFFFFF"/>
          </w:rPr>
          <w:t>Health Quality &amp; Safety Commission NZ</w:t>
        </w:r>
      </w:hyperlink>
    </w:p>
    <w:p w14:paraId="628CBBB2" w14:textId="4C4019D6" w:rsidR="00CC5D96" w:rsidRDefault="00CC5D96" w:rsidP="00253884">
      <w:pPr>
        <w:pStyle w:val="Heading4"/>
      </w:pPr>
      <w:r>
        <w:t>Disability</w:t>
      </w:r>
    </w:p>
    <w:p w14:paraId="4C0F23B6" w14:textId="65B614F7" w:rsidR="007C6505" w:rsidRDefault="007C6505" w:rsidP="007C6505">
      <w:r>
        <w:t>The United Nations Convention on the Rights of Persons with Disabilities (</w:t>
      </w:r>
      <w:r w:rsidR="009F6075">
        <w:t>UNCRPD) defines</w:t>
      </w:r>
      <w:r>
        <w:t xml:space="preserve"> a </w:t>
      </w:r>
      <w:r w:rsidRPr="006B3421">
        <w:rPr>
          <w:i/>
          <w:iCs/>
        </w:rPr>
        <w:t>disability</w:t>
      </w:r>
      <w:r>
        <w:t xml:space="preserve"> as any long-term physical, mental, </w:t>
      </w:r>
      <w:proofErr w:type="gramStart"/>
      <w:r>
        <w:t>intellectual</w:t>
      </w:r>
      <w:proofErr w:type="gramEnd"/>
      <w:r>
        <w:t xml:space="preserve"> or sensory impairment which, in interaction with various barriers, may hinder the full and effective participation of disabled people in society on an equal basis with others.</w:t>
      </w:r>
    </w:p>
    <w:p w14:paraId="522BF57E" w14:textId="2889598E" w:rsidR="007C6505" w:rsidRPr="007C6505" w:rsidRDefault="007C6505" w:rsidP="007C6505">
      <w:r>
        <w:t>The experience of disability is influenced by the nature of a person</w:t>
      </w:r>
      <w:r w:rsidR="006B3421">
        <w:t>’</w:t>
      </w:r>
      <w:r>
        <w:t>s impairment. Gender, age, ethnicity, and culture can also have a profound and sometimes compounding effect on an individual</w:t>
      </w:r>
      <w:r w:rsidR="006B3421">
        <w:t>’</w:t>
      </w:r>
      <w:r>
        <w:t>s experience of disability.</w:t>
      </w:r>
    </w:p>
    <w:p w14:paraId="2969EED7" w14:textId="5BD42B18" w:rsidR="0047438F" w:rsidRDefault="0047438F" w:rsidP="00253884">
      <w:pPr>
        <w:pStyle w:val="Heading4"/>
      </w:pPr>
      <w:r>
        <w:t>Disability Identity</w:t>
      </w:r>
    </w:p>
    <w:p w14:paraId="75860D36" w14:textId="24997D61" w:rsidR="0047438F" w:rsidRPr="0047438F" w:rsidRDefault="00EC337C" w:rsidP="0047438F">
      <w:r w:rsidRPr="006B3421">
        <w:rPr>
          <w:i/>
          <w:iCs/>
        </w:rPr>
        <w:t>Disability identity</w:t>
      </w:r>
      <w:r w:rsidRPr="00EC337C">
        <w:t> describes a person’s sense-of-self as a person with a disability. Some people’s identities are focused primarily on themselves as individuals, and sometimes they are related to the emotional, social, and political connections people share with other people – including other disabled people and disability communities.  </w:t>
      </w:r>
    </w:p>
    <w:p w14:paraId="2912DCCF" w14:textId="0323AD2A" w:rsidR="0047438F" w:rsidRDefault="0047438F" w:rsidP="00253884">
      <w:pPr>
        <w:pStyle w:val="Heading4"/>
      </w:pPr>
      <w:r>
        <w:t>Identity-First Language</w:t>
      </w:r>
    </w:p>
    <w:p w14:paraId="0AB6CC0C" w14:textId="383D64D1" w:rsidR="0047438F" w:rsidRPr="0047438F" w:rsidRDefault="0047438F" w:rsidP="0047438F">
      <w:r w:rsidRPr="006B3421">
        <w:rPr>
          <w:i/>
          <w:iCs/>
          <w:shd w:val="clear" w:color="auto" w:fill="FFFFFF"/>
        </w:rPr>
        <w:t>Identity-first language</w:t>
      </w:r>
      <w:r>
        <w:rPr>
          <w:shd w:val="clear" w:color="auto" w:fill="FFFFFF"/>
        </w:rPr>
        <w:t xml:space="preserve"> begins with describing the disability first when speaking about a person. For example, you might say “an autistic person” rather than “a person with autism.” People who prefer identity-first language argue that it acknowledges a core part of their identity</w:t>
      </w:r>
      <w:r w:rsidR="006B3421">
        <w:rPr>
          <w:shd w:val="clear" w:color="auto" w:fill="FFFFFF"/>
        </w:rPr>
        <w:t>.</w:t>
      </w:r>
    </w:p>
    <w:p w14:paraId="480BCFDC" w14:textId="32A2C2AB" w:rsidR="007C6505" w:rsidRDefault="007C6505" w:rsidP="00253884">
      <w:pPr>
        <w:pStyle w:val="Heading4"/>
      </w:pPr>
      <w:r>
        <w:lastRenderedPageBreak/>
        <w:t>Impairment</w:t>
      </w:r>
    </w:p>
    <w:p w14:paraId="50E51DD3" w14:textId="6BA224F8" w:rsidR="007C6505" w:rsidRDefault="007C6505" w:rsidP="007C6505">
      <w:r>
        <w:t xml:space="preserve">An </w:t>
      </w:r>
      <w:r w:rsidRPr="006B3421">
        <w:rPr>
          <w:i/>
          <w:iCs/>
        </w:rPr>
        <w:t>impairment</w:t>
      </w:r>
      <w:r>
        <w:t xml:space="preserve"> can be intellectual, psychiatric, physical, neurological</w:t>
      </w:r>
      <w:r w:rsidR="00CD2221">
        <w:t>,</w:t>
      </w:r>
      <w:r>
        <w:t xml:space="preserve"> or sensory, and </w:t>
      </w:r>
      <w:r w:rsidR="006B3421">
        <w:t xml:space="preserve">can </w:t>
      </w:r>
      <w:r>
        <w:t>be temporary, intermittent</w:t>
      </w:r>
      <w:r w:rsidR="00CD2221">
        <w:t>,</w:t>
      </w:r>
      <w:r>
        <w:t xml:space="preserve"> or ongoing. People may acquire an impairment through an accident or illness, and/or a person may be born with an impairment. Multiple impairments are common, especially with increasing age.</w:t>
      </w:r>
    </w:p>
    <w:p w14:paraId="437529E2" w14:textId="304697D5" w:rsidR="007C6505" w:rsidRDefault="007C6505" w:rsidP="007C6505">
      <w:r>
        <w:t xml:space="preserve">Impairments are often considered to be the disability. However, under the </w:t>
      </w:r>
      <w:r w:rsidR="006B3421">
        <w:t>S</w:t>
      </w:r>
      <w:r>
        <w:t xml:space="preserve">ocial </w:t>
      </w:r>
      <w:r w:rsidR="006B3421">
        <w:t>M</w:t>
      </w:r>
      <w:r>
        <w:t>odel</w:t>
      </w:r>
      <w:r w:rsidR="006B3421">
        <w:t xml:space="preserve"> of Disability</w:t>
      </w:r>
      <w:r>
        <w:t>, there is a distinction between the two concepts.</w:t>
      </w:r>
    </w:p>
    <w:p w14:paraId="1BDF7B0C" w14:textId="3BBEA282" w:rsidR="001A5477" w:rsidRDefault="001A5477" w:rsidP="009B34E7">
      <w:pPr>
        <w:pStyle w:val="Heading4"/>
      </w:pPr>
      <w:r>
        <w:t>Inclusive Design</w:t>
      </w:r>
      <w:r w:rsidR="009B34E7">
        <w:t xml:space="preserve"> </w:t>
      </w:r>
    </w:p>
    <w:p w14:paraId="3357462D" w14:textId="549A094D" w:rsidR="00010B7C" w:rsidRDefault="00010B7C" w:rsidP="009B34E7">
      <w:r w:rsidRPr="006B3421">
        <w:rPr>
          <w:i/>
          <w:iCs/>
        </w:rPr>
        <w:t>Inclusive design</w:t>
      </w:r>
      <w:r w:rsidRPr="00010B7C">
        <w:t xml:space="preserve"> considers the full range of human diversity with respect to ability, language, culture, gender, </w:t>
      </w:r>
      <w:proofErr w:type="gramStart"/>
      <w:r w:rsidRPr="00010B7C">
        <w:t>age</w:t>
      </w:r>
      <w:proofErr w:type="gramEnd"/>
      <w:r w:rsidRPr="00010B7C">
        <w:t xml:space="preserve"> and other forms of human difference.</w:t>
      </w:r>
    </w:p>
    <w:p w14:paraId="3AC355AB" w14:textId="4E22C1C3" w:rsidR="00010B7C" w:rsidRPr="00010B7C" w:rsidRDefault="00010B7C" w:rsidP="00010B7C">
      <w:pPr>
        <w:rPr>
          <w:lang w:val="en-NZ"/>
        </w:rPr>
      </w:pPr>
      <w:r w:rsidRPr="00010B7C">
        <w:rPr>
          <w:lang w:val="en-NZ"/>
        </w:rPr>
        <w:t>Three dimensions in inclusive design methodology identified by the </w:t>
      </w:r>
      <w:hyperlink r:id="rId14" w:history="1">
        <w:r w:rsidRPr="00010B7C">
          <w:rPr>
            <w:rStyle w:val="Hyperlink"/>
            <w:lang w:val="en-NZ"/>
          </w:rPr>
          <w:t>Inclusive Design Research Centre</w:t>
        </w:r>
      </w:hyperlink>
      <w:r w:rsidRPr="00010B7C">
        <w:rPr>
          <w:lang w:val="en-NZ"/>
        </w:rPr>
        <w:t> include:</w:t>
      </w:r>
      <w:r w:rsidR="00B44C50" w:rsidRPr="00010B7C">
        <w:rPr>
          <w:lang w:val="en-NZ"/>
        </w:rPr>
        <w:t xml:space="preserve"> </w:t>
      </w:r>
    </w:p>
    <w:p w14:paraId="72BA65AC" w14:textId="39CACD68" w:rsidR="00010B7C" w:rsidRPr="00010B7C" w:rsidRDefault="00010B7C">
      <w:pPr>
        <w:pStyle w:val="ListParagraph"/>
        <w:numPr>
          <w:ilvl w:val="0"/>
          <w:numId w:val="6"/>
        </w:numPr>
        <w:rPr>
          <w:lang w:val="en-NZ"/>
        </w:rPr>
      </w:pPr>
      <w:r w:rsidRPr="00010B7C">
        <w:rPr>
          <w:lang w:val="en-NZ"/>
        </w:rPr>
        <w:t>Recogni</w:t>
      </w:r>
      <w:r w:rsidR="00B44C50">
        <w:rPr>
          <w:lang w:val="en-NZ"/>
        </w:rPr>
        <w:t>s</w:t>
      </w:r>
      <w:r w:rsidRPr="00010B7C">
        <w:rPr>
          <w:lang w:val="en-NZ"/>
        </w:rPr>
        <w:t>e, respect, and design with human uniqueness and variability.</w:t>
      </w:r>
    </w:p>
    <w:p w14:paraId="73DB6E8B" w14:textId="0FA43ACC" w:rsidR="00010B7C" w:rsidRPr="00010B7C" w:rsidRDefault="00010B7C">
      <w:pPr>
        <w:pStyle w:val="ListParagraph"/>
        <w:numPr>
          <w:ilvl w:val="0"/>
          <w:numId w:val="6"/>
        </w:numPr>
        <w:rPr>
          <w:lang w:val="en-NZ"/>
        </w:rPr>
      </w:pPr>
      <w:r w:rsidRPr="00010B7C">
        <w:rPr>
          <w:lang w:val="en-NZ"/>
        </w:rPr>
        <w:t>Use inclusive, open, and transparent processes, and co-design with people who represent a diversity of perspectives.</w:t>
      </w:r>
    </w:p>
    <w:p w14:paraId="442CBC76" w14:textId="54DB0C83" w:rsidR="00010B7C" w:rsidRPr="00010B7C" w:rsidRDefault="00010B7C">
      <w:pPr>
        <w:pStyle w:val="ListParagraph"/>
        <w:numPr>
          <w:ilvl w:val="0"/>
          <w:numId w:val="6"/>
        </w:numPr>
        <w:rPr>
          <w:lang w:val="en-NZ"/>
        </w:rPr>
      </w:pPr>
      <w:r w:rsidRPr="00010B7C">
        <w:rPr>
          <w:lang w:val="en-NZ"/>
        </w:rPr>
        <w:t>Reali</w:t>
      </w:r>
      <w:r w:rsidR="00B44C50">
        <w:rPr>
          <w:lang w:val="en-NZ"/>
        </w:rPr>
        <w:t>s</w:t>
      </w:r>
      <w:r w:rsidRPr="00010B7C">
        <w:rPr>
          <w:lang w:val="en-NZ"/>
        </w:rPr>
        <w:t>e that you are designing in a complex adaptive system, where changes in a design will influence the larger systems that utili</w:t>
      </w:r>
      <w:r w:rsidR="00B44C50">
        <w:rPr>
          <w:lang w:val="en-NZ"/>
        </w:rPr>
        <w:t>s</w:t>
      </w:r>
      <w:r w:rsidRPr="00010B7C">
        <w:rPr>
          <w:lang w:val="en-NZ"/>
        </w:rPr>
        <w:t>e it.</w:t>
      </w:r>
    </w:p>
    <w:p w14:paraId="603E7A62" w14:textId="6F6620DB" w:rsidR="001748B3" w:rsidRDefault="001748B3" w:rsidP="00253884">
      <w:pPr>
        <w:pStyle w:val="Heading4"/>
      </w:pPr>
      <w:r>
        <w:t>Medical Model of Disability (vs. Social Model)</w:t>
      </w:r>
    </w:p>
    <w:p w14:paraId="6C35D0CB" w14:textId="542C9264" w:rsidR="001748B3" w:rsidRPr="001748B3" w:rsidRDefault="001748B3" w:rsidP="001748B3">
      <w:r w:rsidRPr="001748B3">
        <w:t xml:space="preserve">The </w:t>
      </w:r>
      <w:r w:rsidR="006B3421">
        <w:rPr>
          <w:i/>
          <w:iCs/>
        </w:rPr>
        <w:t>m</w:t>
      </w:r>
      <w:r w:rsidRPr="006B3421">
        <w:rPr>
          <w:i/>
          <w:iCs/>
        </w:rPr>
        <w:t xml:space="preserve">edical </w:t>
      </w:r>
      <w:r w:rsidR="006B3421">
        <w:rPr>
          <w:i/>
          <w:iCs/>
        </w:rPr>
        <w:t>m</w:t>
      </w:r>
      <w:r w:rsidRPr="006B3421">
        <w:rPr>
          <w:i/>
          <w:iCs/>
        </w:rPr>
        <w:t>odel</w:t>
      </w:r>
      <w:r w:rsidR="006B3421" w:rsidRPr="006B3421">
        <w:rPr>
          <w:i/>
          <w:iCs/>
        </w:rPr>
        <w:t xml:space="preserve"> of </w:t>
      </w:r>
      <w:r w:rsidR="006B3421">
        <w:rPr>
          <w:i/>
          <w:iCs/>
        </w:rPr>
        <w:t>d</w:t>
      </w:r>
      <w:r w:rsidR="006B3421" w:rsidRPr="006B3421">
        <w:rPr>
          <w:i/>
          <w:iCs/>
        </w:rPr>
        <w:t>isability</w:t>
      </w:r>
      <w:r w:rsidRPr="001748B3">
        <w:t xml:space="preserve"> views disability as a defect within the individual</w:t>
      </w:r>
      <w:r w:rsidR="006B3421">
        <w:t>, that d</w:t>
      </w:r>
      <w:r w:rsidRPr="001748B3">
        <w:t xml:space="preserve">isability is an aberration compared to normal traits and characteristics. </w:t>
      </w:r>
      <w:proofErr w:type="gramStart"/>
      <w:r w:rsidRPr="001748B3">
        <w:t>In order to</w:t>
      </w:r>
      <w:proofErr w:type="gramEnd"/>
      <w:r w:rsidRPr="001748B3">
        <w:t xml:space="preserve"> have a high quality of life, these defects must be cured, fixed, or completely eliminated. Health care and social service professionals have the sole power to correct or modify these conditions</w:t>
      </w:r>
      <w:r w:rsidR="006B3421">
        <w:t xml:space="preserve"> under the medical model</w:t>
      </w:r>
      <w:r w:rsidRPr="001748B3">
        <w:t>.</w:t>
      </w:r>
    </w:p>
    <w:p w14:paraId="2D5698C5" w14:textId="5224F28B" w:rsidR="00C22087" w:rsidRDefault="005F2A97" w:rsidP="00253884">
      <w:pPr>
        <w:pStyle w:val="Heading4"/>
      </w:pPr>
      <w:r w:rsidRPr="00650C5B">
        <w:t>Non-</w:t>
      </w:r>
      <w:r w:rsidR="008869C2">
        <w:t>D</w:t>
      </w:r>
      <w:r w:rsidRPr="00253884">
        <w:t>isabling</w:t>
      </w:r>
      <w:r>
        <w:t xml:space="preserve"> </w:t>
      </w:r>
    </w:p>
    <w:p w14:paraId="445FE888" w14:textId="01052EF6" w:rsidR="005F2A97" w:rsidRPr="00C22087" w:rsidRDefault="00C22087" w:rsidP="005F2A97">
      <w:pPr>
        <w:rPr>
          <w:rStyle w:val="Heading1Char"/>
          <w:rFonts w:eastAsiaTheme="minorHAnsi" w:cstheme="minorBidi"/>
          <w:b w:val="0"/>
          <w:color w:val="auto"/>
          <w:sz w:val="24"/>
          <w:szCs w:val="24"/>
        </w:rPr>
      </w:pPr>
      <w:r>
        <w:t>R</w:t>
      </w:r>
      <w:r w:rsidR="005F2A97">
        <w:t>emoving the barriers in society that disable people with impairments</w:t>
      </w:r>
      <w:r w:rsidR="007C6505">
        <w:t>,</w:t>
      </w:r>
      <w:r w:rsidR="005F2A97">
        <w:t xml:space="preserve"> </w:t>
      </w:r>
      <w:r w:rsidR="007C6505">
        <w:t>which is more impactful</w:t>
      </w:r>
      <w:r w:rsidR="005F2A97">
        <w:t xml:space="preserve"> and meaningful than ‘enabling’, which will only help disabled people get around barriers rather than remove them completely.</w:t>
      </w:r>
      <w:bookmarkStart w:id="70" w:name="_Toc110961296"/>
      <w:bookmarkStart w:id="71" w:name="_Toc111489513"/>
      <w:bookmarkStart w:id="72" w:name="_Toc117699107"/>
      <w:r>
        <w:rPr>
          <w:rStyle w:val="Heading1Char"/>
        </w:rPr>
        <w:t xml:space="preserve"> </w:t>
      </w:r>
      <w:bookmarkEnd w:id="70"/>
      <w:bookmarkEnd w:id="71"/>
      <w:bookmarkEnd w:id="72"/>
    </w:p>
    <w:p w14:paraId="4FA600BD" w14:textId="248D5734" w:rsidR="00EC337C" w:rsidRDefault="00EC337C" w:rsidP="00253884">
      <w:pPr>
        <w:pStyle w:val="Heading4"/>
        <w:rPr>
          <w:bCs/>
        </w:rPr>
      </w:pPr>
      <w:r>
        <w:rPr>
          <w:bCs/>
        </w:rPr>
        <w:t>Person-First Language</w:t>
      </w:r>
    </w:p>
    <w:p w14:paraId="5D573337" w14:textId="1656D2E4" w:rsidR="00EC337C" w:rsidRPr="00EC337C" w:rsidRDefault="00EC337C" w:rsidP="00EC337C">
      <w:r w:rsidRPr="00EC337C">
        <w:t xml:space="preserve">This form of language sees phrases </w:t>
      </w:r>
      <w:r w:rsidR="006B3421">
        <w:t>such as</w:t>
      </w:r>
      <w:r w:rsidRPr="00EC337C">
        <w:t xml:space="preserve"> “person with disability” or “person living with disability” being used to centre the person rather than the disability.</w:t>
      </w:r>
    </w:p>
    <w:p w14:paraId="76ED8081" w14:textId="0A3C8AD0" w:rsidR="0047438F" w:rsidRDefault="0047438F" w:rsidP="00253884">
      <w:pPr>
        <w:pStyle w:val="Heading4"/>
        <w:rPr>
          <w:bCs/>
        </w:rPr>
      </w:pPr>
      <w:r w:rsidRPr="0047438F">
        <w:rPr>
          <w:bCs/>
        </w:rPr>
        <w:t>Preferred Language</w:t>
      </w:r>
    </w:p>
    <w:p w14:paraId="0D95F7DA" w14:textId="17F155C5" w:rsidR="0047438F" w:rsidRPr="0047438F" w:rsidRDefault="00EC337C" w:rsidP="00EC337C">
      <w:r w:rsidRPr="00EC337C">
        <w:t>Honouring and respecting how an individual disabled person wishes to be referred to</w:t>
      </w:r>
      <w:r>
        <w:t>.</w:t>
      </w:r>
    </w:p>
    <w:p w14:paraId="1F5C9348" w14:textId="3901036F" w:rsidR="00C22087" w:rsidRPr="003D6F4C" w:rsidRDefault="00C22087" w:rsidP="00253884">
      <w:pPr>
        <w:pStyle w:val="Heading4"/>
      </w:pPr>
      <w:r w:rsidRPr="003D6F4C">
        <w:t xml:space="preserve">Reasonable </w:t>
      </w:r>
      <w:r w:rsidRPr="00CF2897">
        <w:t>Accommodation</w:t>
      </w:r>
      <w:r w:rsidRPr="003D6F4C">
        <w:t xml:space="preserve"> &amp; </w:t>
      </w:r>
      <w:r w:rsidRPr="00253884">
        <w:t>Accessibility</w:t>
      </w:r>
    </w:p>
    <w:p w14:paraId="4E47860D" w14:textId="5EDE2C8C" w:rsidR="00153C79" w:rsidRDefault="00153C79" w:rsidP="00153C79">
      <w:r w:rsidRPr="00153C79">
        <w:rPr>
          <w:i/>
          <w:iCs/>
        </w:rPr>
        <w:t>Accessibility</w:t>
      </w:r>
      <w:r w:rsidRPr="003D6F4C">
        <w:t xml:space="preserve"> is what we should expect to be in place for disabled people without asking or planning. </w:t>
      </w:r>
      <w:r w:rsidRPr="00153C79">
        <w:rPr>
          <w:i/>
          <w:iCs/>
        </w:rPr>
        <w:t>Accommodation</w:t>
      </w:r>
      <w:r w:rsidRPr="003D6F4C">
        <w:t xml:space="preserve"> is for adaptations that cannot be reasonably anticipated. They are different for everyone.</w:t>
      </w:r>
      <w:r>
        <w:t xml:space="preserve"> </w:t>
      </w:r>
      <w:r w:rsidRPr="00153C79">
        <w:rPr>
          <w:i/>
          <w:iCs/>
        </w:rPr>
        <w:t>Reasonable accommodation</w:t>
      </w:r>
      <w:r w:rsidRPr="003D6F4C">
        <w:t xml:space="preserve"> is any adjustment that makes it possible for an individual to access and perform the essential functions of and enjoy the equal benefits and privileges of citizenship.</w:t>
      </w:r>
    </w:p>
    <w:p w14:paraId="3D8B00A8" w14:textId="4CF8F020" w:rsidR="00C22087" w:rsidRPr="003D6F4C" w:rsidRDefault="00C22087" w:rsidP="00C22087">
      <w:r w:rsidRPr="003D6F4C">
        <w:t>Examples of reasonable accommodation include flexible hours or part-time hours in employment, ramps for access, a New Zealand Sign Language (NZSL) interpreter for meetings or events, additional time for tests and examinations in educational settings, and many more.</w:t>
      </w:r>
    </w:p>
    <w:p w14:paraId="0C499206" w14:textId="5A0F0F28" w:rsidR="00CC5D96" w:rsidRDefault="00CC5D96" w:rsidP="00253884">
      <w:pPr>
        <w:pStyle w:val="Heading4"/>
      </w:pPr>
      <w:r>
        <w:t>Social Model of Disability</w:t>
      </w:r>
      <w:r w:rsidR="007C6505">
        <w:t xml:space="preserve"> (vs. Medical Model)</w:t>
      </w:r>
    </w:p>
    <w:p w14:paraId="0EC56646" w14:textId="5A676858" w:rsidR="007C6505" w:rsidRPr="007C6505" w:rsidRDefault="007C6505" w:rsidP="007C6505">
      <w:r>
        <w:t xml:space="preserve">The </w:t>
      </w:r>
      <w:r w:rsidRPr="006B3421">
        <w:rPr>
          <w:i/>
          <w:iCs/>
        </w:rPr>
        <w:t>social model of disability</w:t>
      </w:r>
      <w:r>
        <w:t xml:space="preserve"> specifies that individuals do not have disability </w:t>
      </w:r>
      <w:r w:rsidR="006B3421">
        <w:t>–</w:t>
      </w:r>
      <w:r>
        <w:t xml:space="preserve"> it lies in society. The experience of disability occurs when people with impairments are excluded from places and activities most of us take for granted. It happens when our </w:t>
      </w:r>
      <w:r>
        <w:lastRenderedPageBreak/>
        <w:t>infrastructure and systems do not accommodate the diverse abilities and needs of all citizens.</w:t>
      </w:r>
    </w:p>
    <w:p w14:paraId="37CDA782" w14:textId="0070C70B" w:rsidR="003D6F4C" w:rsidRPr="003D6F4C" w:rsidRDefault="003D6F4C" w:rsidP="00253884">
      <w:pPr>
        <w:pStyle w:val="Heading4"/>
      </w:pPr>
      <w:r w:rsidRPr="003D6F4C">
        <w:t xml:space="preserve">Tāngata </w:t>
      </w:r>
      <w:r w:rsidRPr="00253884">
        <w:t>Whaikaha</w:t>
      </w:r>
      <w:bookmarkEnd w:id="67"/>
      <w:bookmarkEnd w:id="68"/>
      <w:bookmarkEnd w:id="69"/>
      <w:r w:rsidR="001748B3">
        <w:t xml:space="preserve"> Māori</w:t>
      </w:r>
    </w:p>
    <w:p w14:paraId="67C115FD" w14:textId="3CF23642" w:rsidR="003F143F" w:rsidRDefault="003D6F4C" w:rsidP="003D6F4C">
      <w:r w:rsidRPr="003D6F4C">
        <w:t xml:space="preserve">Māori disabled people. </w:t>
      </w:r>
      <w:r w:rsidR="006A658A">
        <w:t>‘</w:t>
      </w:r>
      <w:r w:rsidRPr="003D6F4C">
        <w:t xml:space="preserve">Māori experience disability at a much higher rate (32%) than the overall New Zealand population (24%). As tāngata whenua, Māori have explicit </w:t>
      </w:r>
      <w:proofErr w:type="gramStart"/>
      <w:r w:rsidRPr="003D6F4C">
        <w:t>rights</w:t>
      </w:r>
      <w:proofErr w:type="gramEnd"/>
      <w:r w:rsidRPr="003D6F4C">
        <w:t xml:space="preserve"> and the Crown has explicit responsibilities under both the Treaty of Waitangi and </w:t>
      </w:r>
      <w:proofErr w:type="spellStart"/>
      <w:r w:rsidRPr="003D6F4C">
        <w:t>Te</w:t>
      </w:r>
      <w:proofErr w:type="spellEnd"/>
      <w:r w:rsidRPr="003D6F4C">
        <w:t xml:space="preserve"> </w:t>
      </w:r>
      <w:proofErr w:type="spellStart"/>
      <w:r w:rsidRPr="003D6F4C">
        <w:t>Tiriti</w:t>
      </w:r>
      <w:proofErr w:type="spellEnd"/>
      <w:r w:rsidRPr="003D6F4C">
        <w:t xml:space="preserve"> o Waitangi.</w:t>
      </w:r>
      <w:r w:rsidR="006A658A">
        <w:t>’</w:t>
      </w:r>
      <w:r w:rsidR="00481E73">
        <w:t xml:space="preserve"> </w:t>
      </w:r>
    </w:p>
    <w:p w14:paraId="4A3E84E1" w14:textId="5F537280" w:rsidR="003F143F" w:rsidRDefault="003F143F" w:rsidP="003F143F">
      <w:r>
        <w:t xml:space="preserve">Source: </w:t>
      </w:r>
      <w:hyperlink r:id="rId15" w:history="1">
        <w:r w:rsidRPr="003F143F">
          <w:rPr>
            <w:rStyle w:val="Hyperlink"/>
          </w:rPr>
          <w:t>Office of Disability Issues</w:t>
        </w:r>
      </w:hyperlink>
    </w:p>
    <w:p w14:paraId="1C2118FF" w14:textId="1B5941D0" w:rsidR="00010B7C" w:rsidRDefault="003F143F" w:rsidP="003F143F">
      <w:pPr>
        <w:pStyle w:val="Heading4"/>
      </w:pPr>
      <w:r>
        <w:t>Universal Design</w:t>
      </w:r>
    </w:p>
    <w:p w14:paraId="26FD5FC4" w14:textId="53611979" w:rsidR="003F143F" w:rsidRDefault="003F143F" w:rsidP="003F143F">
      <w:r w:rsidRPr="006A658A">
        <w:rPr>
          <w:i/>
          <w:iCs/>
        </w:rPr>
        <w:t>Universal Design</w:t>
      </w:r>
      <w:r w:rsidRPr="003F143F">
        <w:t xml:space="preserve"> is the design and composition of an environment so that it can be accessed, understood</w:t>
      </w:r>
      <w:r>
        <w:t>,</w:t>
      </w:r>
      <w:r w:rsidRPr="003F143F">
        <w:t xml:space="preserve"> and used to the greatest extent possible by all people regardless of their age, size, ability</w:t>
      </w:r>
      <w:r>
        <w:t>,</w:t>
      </w:r>
      <w:r w:rsidRPr="003F143F">
        <w:t xml:space="preserve"> or disability. Simply put, universal design is good design.</w:t>
      </w:r>
    </w:p>
    <w:p w14:paraId="4F1B24F4" w14:textId="23310538" w:rsidR="003F143F" w:rsidRDefault="003F143F" w:rsidP="003F143F">
      <w:r>
        <w:t>The 7 principles of Universal Design are:</w:t>
      </w:r>
    </w:p>
    <w:p w14:paraId="2AA1FA34" w14:textId="48F86701" w:rsidR="003F143F" w:rsidRDefault="003F143F">
      <w:pPr>
        <w:pStyle w:val="ListParagraph"/>
        <w:numPr>
          <w:ilvl w:val="0"/>
          <w:numId w:val="11"/>
        </w:numPr>
      </w:pPr>
      <w:r w:rsidRPr="003F143F">
        <w:t>Equitable Use</w:t>
      </w:r>
    </w:p>
    <w:p w14:paraId="7C94656E" w14:textId="4BE86BE6" w:rsidR="003F143F" w:rsidRDefault="003F143F">
      <w:pPr>
        <w:pStyle w:val="ListParagraph"/>
        <w:numPr>
          <w:ilvl w:val="0"/>
          <w:numId w:val="11"/>
        </w:numPr>
      </w:pPr>
      <w:r w:rsidRPr="003F143F">
        <w:t>Flexibility in Use</w:t>
      </w:r>
    </w:p>
    <w:p w14:paraId="2E803185" w14:textId="5003D235" w:rsidR="003F143F" w:rsidRDefault="003F143F">
      <w:pPr>
        <w:pStyle w:val="ListParagraph"/>
        <w:numPr>
          <w:ilvl w:val="0"/>
          <w:numId w:val="11"/>
        </w:numPr>
      </w:pPr>
      <w:r w:rsidRPr="003F143F">
        <w:t>Simple and Intuitive Use</w:t>
      </w:r>
    </w:p>
    <w:p w14:paraId="3DA41D56" w14:textId="65054129" w:rsidR="003F143F" w:rsidRDefault="003F143F">
      <w:pPr>
        <w:pStyle w:val="ListParagraph"/>
        <w:numPr>
          <w:ilvl w:val="0"/>
          <w:numId w:val="11"/>
        </w:numPr>
      </w:pPr>
      <w:r w:rsidRPr="003F143F">
        <w:t>Perceptible Information</w:t>
      </w:r>
    </w:p>
    <w:p w14:paraId="15A1AA0C" w14:textId="34AB1686" w:rsidR="003F143F" w:rsidRDefault="003F143F">
      <w:pPr>
        <w:pStyle w:val="ListParagraph"/>
        <w:numPr>
          <w:ilvl w:val="0"/>
          <w:numId w:val="11"/>
        </w:numPr>
      </w:pPr>
      <w:r w:rsidRPr="003F143F">
        <w:t>Tolerance for Error</w:t>
      </w:r>
    </w:p>
    <w:p w14:paraId="228BD598" w14:textId="43BA66B1" w:rsidR="003F143F" w:rsidRDefault="003F143F">
      <w:pPr>
        <w:pStyle w:val="ListParagraph"/>
        <w:numPr>
          <w:ilvl w:val="0"/>
          <w:numId w:val="11"/>
        </w:numPr>
      </w:pPr>
      <w:r w:rsidRPr="003F143F">
        <w:t>Low Physical Effort</w:t>
      </w:r>
    </w:p>
    <w:p w14:paraId="61026C44" w14:textId="05CDDEE9" w:rsidR="003F143F" w:rsidRDefault="003F143F">
      <w:pPr>
        <w:pStyle w:val="ListParagraph"/>
        <w:numPr>
          <w:ilvl w:val="0"/>
          <w:numId w:val="11"/>
        </w:numPr>
      </w:pPr>
      <w:r w:rsidRPr="003F143F">
        <w:t>Size and Space for Approach and Use</w:t>
      </w:r>
    </w:p>
    <w:p w14:paraId="45ED3E33" w14:textId="736662BB" w:rsidR="003F143F" w:rsidRPr="003F143F" w:rsidRDefault="003F143F" w:rsidP="003F143F">
      <w:r>
        <w:t xml:space="preserve">Source: </w:t>
      </w:r>
      <w:hyperlink r:id="rId16" w:history="1">
        <w:r w:rsidRPr="003F143F">
          <w:rPr>
            <w:rStyle w:val="Hyperlink"/>
          </w:rPr>
          <w:t>Universal Design</w:t>
        </w:r>
      </w:hyperlink>
      <w:r>
        <w:t xml:space="preserve"> </w:t>
      </w:r>
    </w:p>
    <w:p w14:paraId="747C5E1F" w14:textId="77777777" w:rsidR="003F143F" w:rsidRDefault="003F143F" w:rsidP="007C6505"/>
    <w:p w14:paraId="0150CAA1" w14:textId="2ED115BF" w:rsidR="008869C2" w:rsidRDefault="007C6505" w:rsidP="007C6505">
      <w:r>
        <w:t>For further definitions</w:t>
      </w:r>
      <w:r w:rsidR="00481E73">
        <w:t xml:space="preserve"> and concepts</w:t>
      </w:r>
      <w:r>
        <w:t xml:space="preserve"> see:</w:t>
      </w:r>
    </w:p>
    <w:p w14:paraId="0C60BF3D" w14:textId="0CCD38A0" w:rsidR="007C6505" w:rsidRDefault="00000000" w:rsidP="007C6505">
      <w:hyperlink r:id="rId17" w:history="1">
        <w:r w:rsidR="008869C2" w:rsidRPr="008869C2">
          <w:rPr>
            <w:rStyle w:val="Hyperlink"/>
          </w:rPr>
          <w:t>Office of Disability Issues</w:t>
        </w:r>
      </w:hyperlink>
      <w:r w:rsidR="008869C2">
        <w:t xml:space="preserve">  </w:t>
      </w:r>
    </w:p>
    <w:p w14:paraId="5534E21B" w14:textId="4C1C1690" w:rsidR="008869C2" w:rsidRDefault="00000000" w:rsidP="007C6505">
      <w:hyperlink r:id="rId18" w:history="1">
        <w:r w:rsidR="008869C2" w:rsidRPr="008869C2">
          <w:rPr>
            <w:rStyle w:val="Hyperlink"/>
          </w:rPr>
          <w:t>Disability Libraries &amp; Toolkit</w:t>
        </w:r>
      </w:hyperlink>
    </w:p>
    <w:p w14:paraId="3639B3F8" w14:textId="3CC8ACE7" w:rsidR="00C67ECB" w:rsidRDefault="00C67ECB">
      <w:pPr>
        <w:rPr>
          <w:rFonts w:eastAsiaTheme="majorEastAsia" w:cstheme="majorBidi"/>
          <w:b/>
          <w:color w:val="000000" w:themeColor="text1"/>
          <w:sz w:val="26"/>
          <w:szCs w:val="26"/>
        </w:rPr>
      </w:pPr>
    </w:p>
    <w:p w14:paraId="16CB5F07" w14:textId="57230264" w:rsidR="00BE3ACD" w:rsidRDefault="00BE3ACD">
      <w:pPr>
        <w:rPr>
          <w:rFonts w:eastAsiaTheme="majorEastAsia" w:cstheme="majorBidi"/>
          <w:b/>
          <w:color w:val="000000" w:themeColor="text1"/>
          <w:sz w:val="26"/>
          <w:szCs w:val="26"/>
        </w:rPr>
      </w:pPr>
      <w:bookmarkStart w:id="73" w:name="_Toc121934135"/>
      <w:bookmarkStart w:id="74" w:name="_Toc122532840"/>
      <w:bookmarkEnd w:id="73"/>
      <w:bookmarkEnd w:id="74"/>
    </w:p>
    <w:sectPr w:rsidR="00BE3ACD" w:rsidSect="003F2C7C">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F4B2" w14:textId="77777777" w:rsidR="00095CEF" w:rsidRDefault="00095CEF" w:rsidP="00FB0866">
      <w:r>
        <w:separator/>
      </w:r>
    </w:p>
  </w:endnote>
  <w:endnote w:type="continuationSeparator" w:id="0">
    <w:p w14:paraId="062D51D6" w14:textId="77777777" w:rsidR="00095CEF" w:rsidRDefault="00095CEF" w:rsidP="00FB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63061"/>
      <w:docPartObj>
        <w:docPartGallery w:val="Page Numbers (Bottom of Page)"/>
        <w:docPartUnique/>
      </w:docPartObj>
    </w:sdtPr>
    <w:sdtContent>
      <w:p w14:paraId="35ED0722" w14:textId="0007FBFF" w:rsidR="00FB0866" w:rsidRDefault="00FB0866" w:rsidP="004C0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A4605" w14:textId="77777777" w:rsidR="00FB0866" w:rsidRDefault="00FB0866" w:rsidP="00FB0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450842"/>
      <w:docPartObj>
        <w:docPartGallery w:val="Page Numbers (Bottom of Page)"/>
        <w:docPartUnique/>
      </w:docPartObj>
    </w:sdtPr>
    <w:sdtContent>
      <w:p w14:paraId="774C96D7" w14:textId="20CE327C" w:rsidR="00FB0866" w:rsidRDefault="00FB0866" w:rsidP="004C0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40BFC" w14:textId="795A7E77" w:rsidR="00FB0866" w:rsidRPr="00FB0866" w:rsidRDefault="00FB0866" w:rsidP="00FB0866">
    <w:pPr>
      <w:pStyle w:val="Footer"/>
      <w:ind w:right="360"/>
      <w:jc w:val="right"/>
      <w:rPr>
        <w:sz w:val="20"/>
        <w:szCs w:val="20"/>
      </w:rPr>
    </w:pPr>
    <w:r>
      <w:rPr>
        <w:sz w:val="20"/>
        <w:szCs w:val="20"/>
      </w:rPr>
      <w:t xml:space="preserve">PPP ACCESSIBILITY </w:t>
    </w:r>
    <w:r w:rsidR="007E3C9D">
      <w:rPr>
        <w:sz w:val="20"/>
        <w:szCs w:val="20"/>
      </w:rPr>
      <w:t>POLICY</w:t>
    </w:r>
    <w:r w:rsidR="008869C2">
      <w:rPr>
        <w:sz w:val="20"/>
        <w:szCs w:val="20"/>
      </w:rPr>
      <w:t xml:space="preserve"> 2023-2025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653A" w14:textId="77777777" w:rsidR="00095CEF" w:rsidRDefault="00095CEF" w:rsidP="00FB0866">
      <w:r>
        <w:separator/>
      </w:r>
    </w:p>
  </w:footnote>
  <w:footnote w:type="continuationSeparator" w:id="0">
    <w:p w14:paraId="54D60F36" w14:textId="77777777" w:rsidR="00095CEF" w:rsidRDefault="00095CEF" w:rsidP="00FB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E4"/>
    <w:multiLevelType w:val="hybridMultilevel"/>
    <w:tmpl w:val="17EC1842"/>
    <w:lvl w:ilvl="0" w:tplc="BF222BA4">
      <w:start w:val="1"/>
      <w:numFmt w:val="bullet"/>
      <w:lvlText w:val=""/>
      <w:lvlJc w:val="left"/>
      <w:pPr>
        <w:ind w:left="45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4D7A"/>
    <w:multiLevelType w:val="hybridMultilevel"/>
    <w:tmpl w:val="4962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F0DF3"/>
    <w:multiLevelType w:val="hybridMultilevel"/>
    <w:tmpl w:val="A5B6D27C"/>
    <w:lvl w:ilvl="0" w:tplc="BF222BA4">
      <w:start w:val="1"/>
      <w:numFmt w:val="bullet"/>
      <w:lvlText w:val=""/>
      <w:lvlJc w:val="left"/>
      <w:pPr>
        <w:ind w:left="45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315FD"/>
    <w:multiLevelType w:val="hybridMultilevel"/>
    <w:tmpl w:val="985EC7A6"/>
    <w:lvl w:ilvl="0" w:tplc="AE464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833E5"/>
    <w:multiLevelType w:val="hybridMultilevel"/>
    <w:tmpl w:val="28967AE2"/>
    <w:lvl w:ilvl="0" w:tplc="BF222BA4">
      <w:start w:val="1"/>
      <w:numFmt w:val="bullet"/>
      <w:lvlText w:val=""/>
      <w:lvlJc w:val="left"/>
      <w:pPr>
        <w:ind w:left="45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B15F1"/>
    <w:multiLevelType w:val="hybridMultilevel"/>
    <w:tmpl w:val="E2E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4DA"/>
    <w:multiLevelType w:val="hybridMultilevel"/>
    <w:tmpl w:val="D9448CEC"/>
    <w:lvl w:ilvl="0" w:tplc="E168EADC">
      <w:start w:val="1"/>
      <w:numFmt w:val="bullet"/>
      <w:lvlText w:val=""/>
      <w:lvlJc w:val="left"/>
      <w:pPr>
        <w:ind w:left="227" w:hanging="227"/>
      </w:pPr>
      <w:rPr>
        <w:rFonts w:ascii="Symbol" w:eastAsiaTheme="minorHAnsi" w:hAnsi="Symbol" w:hint="default"/>
      </w:rPr>
    </w:lvl>
    <w:lvl w:ilvl="1" w:tplc="08090003" w:tentative="1">
      <w:start w:val="1"/>
      <w:numFmt w:val="bullet"/>
      <w:lvlText w:val="o"/>
      <w:lvlJc w:val="left"/>
      <w:pPr>
        <w:ind w:left="3694" w:hanging="360"/>
      </w:pPr>
      <w:rPr>
        <w:rFonts w:ascii="Courier New" w:hAnsi="Courier New" w:cs="Courier New" w:hint="default"/>
      </w:rPr>
    </w:lvl>
    <w:lvl w:ilvl="2" w:tplc="08090005" w:tentative="1">
      <w:start w:val="1"/>
      <w:numFmt w:val="bullet"/>
      <w:lvlText w:val=""/>
      <w:lvlJc w:val="left"/>
      <w:pPr>
        <w:ind w:left="4414" w:hanging="360"/>
      </w:pPr>
      <w:rPr>
        <w:rFonts w:ascii="Wingdings" w:hAnsi="Wingdings" w:hint="default"/>
      </w:rPr>
    </w:lvl>
    <w:lvl w:ilvl="3" w:tplc="08090001" w:tentative="1">
      <w:start w:val="1"/>
      <w:numFmt w:val="bullet"/>
      <w:lvlText w:val=""/>
      <w:lvlJc w:val="left"/>
      <w:pPr>
        <w:ind w:left="5134" w:hanging="360"/>
      </w:pPr>
      <w:rPr>
        <w:rFonts w:ascii="Symbol" w:hAnsi="Symbol" w:hint="default"/>
      </w:rPr>
    </w:lvl>
    <w:lvl w:ilvl="4" w:tplc="08090003" w:tentative="1">
      <w:start w:val="1"/>
      <w:numFmt w:val="bullet"/>
      <w:lvlText w:val="o"/>
      <w:lvlJc w:val="left"/>
      <w:pPr>
        <w:ind w:left="5854" w:hanging="360"/>
      </w:pPr>
      <w:rPr>
        <w:rFonts w:ascii="Courier New" w:hAnsi="Courier New" w:cs="Courier New" w:hint="default"/>
      </w:rPr>
    </w:lvl>
    <w:lvl w:ilvl="5" w:tplc="08090005" w:tentative="1">
      <w:start w:val="1"/>
      <w:numFmt w:val="bullet"/>
      <w:lvlText w:val=""/>
      <w:lvlJc w:val="left"/>
      <w:pPr>
        <w:ind w:left="6574" w:hanging="360"/>
      </w:pPr>
      <w:rPr>
        <w:rFonts w:ascii="Wingdings" w:hAnsi="Wingdings" w:hint="default"/>
      </w:rPr>
    </w:lvl>
    <w:lvl w:ilvl="6" w:tplc="08090001" w:tentative="1">
      <w:start w:val="1"/>
      <w:numFmt w:val="bullet"/>
      <w:lvlText w:val=""/>
      <w:lvlJc w:val="left"/>
      <w:pPr>
        <w:ind w:left="7294" w:hanging="360"/>
      </w:pPr>
      <w:rPr>
        <w:rFonts w:ascii="Symbol" w:hAnsi="Symbol" w:hint="default"/>
      </w:rPr>
    </w:lvl>
    <w:lvl w:ilvl="7" w:tplc="08090003" w:tentative="1">
      <w:start w:val="1"/>
      <w:numFmt w:val="bullet"/>
      <w:lvlText w:val="o"/>
      <w:lvlJc w:val="left"/>
      <w:pPr>
        <w:ind w:left="8014" w:hanging="360"/>
      </w:pPr>
      <w:rPr>
        <w:rFonts w:ascii="Courier New" w:hAnsi="Courier New" w:cs="Courier New" w:hint="default"/>
      </w:rPr>
    </w:lvl>
    <w:lvl w:ilvl="8" w:tplc="08090005" w:tentative="1">
      <w:start w:val="1"/>
      <w:numFmt w:val="bullet"/>
      <w:lvlText w:val=""/>
      <w:lvlJc w:val="left"/>
      <w:pPr>
        <w:ind w:left="8734" w:hanging="360"/>
      </w:pPr>
      <w:rPr>
        <w:rFonts w:ascii="Wingdings" w:hAnsi="Wingdings" w:hint="default"/>
      </w:rPr>
    </w:lvl>
  </w:abstractNum>
  <w:abstractNum w:abstractNumId="7" w15:restartNumberingAfterBreak="0">
    <w:nsid w:val="579949CA"/>
    <w:multiLevelType w:val="hybridMultilevel"/>
    <w:tmpl w:val="8E04C7F0"/>
    <w:lvl w:ilvl="0" w:tplc="BF222BA4">
      <w:start w:val="1"/>
      <w:numFmt w:val="bullet"/>
      <w:lvlText w:val=""/>
      <w:lvlJc w:val="left"/>
      <w:pPr>
        <w:ind w:left="454"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3B0DE6"/>
    <w:multiLevelType w:val="hybridMultilevel"/>
    <w:tmpl w:val="FF529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D1E77"/>
    <w:multiLevelType w:val="hybridMultilevel"/>
    <w:tmpl w:val="7F067E86"/>
    <w:lvl w:ilvl="0" w:tplc="EAAED31E">
      <w:start w:val="1"/>
      <w:numFmt w:val="bullet"/>
      <w:pStyle w:val="Bullet1"/>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5780B"/>
    <w:multiLevelType w:val="hybridMultilevel"/>
    <w:tmpl w:val="FB4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574409">
    <w:abstractNumId w:val="3"/>
  </w:num>
  <w:num w:numId="2" w16cid:durableId="93014122">
    <w:abstractNumId w:val="6"/>
  </w:num>
  <w:num w:numId="3" w16cid:durableId="476648211">
    <w:abstractNumId w:val="9"/>
  </w:num>
  <w:num w:numId="4" w16cid:durableId="289635157">
    <w:abstractNumId w:val="5"/>
  </w:num>
  <w:num w:numId="5" w16cid:durableId="1864392990">
    <w:abstractNumId w:val="10"/>
  </w:num>
  <w:num w:numId="6" w16cid:durableId="1264610969">
    <w:abstractNumId w:val="1"/>
  </w:num>
  <w:num w:numId="7" w16cid:durableId="469517825">
    <w:abstractNumId w:val="7"/>
  </w:num>
  <w:num w:numId="8" w16cid:durableId="89274352">
    <w:abstractNumId w:val="4"/>
  </w:num>
  <w:num w:numId="9" w16cid:durableId="924800202">
    <w:abstractNumId w:val="0"/>
  </w:num>
  <w:num w:numId="10" w16cid:durableId="1945765891">
    <w:abstractNumId w:val="2"/>
  </w:num>
  <w:num w:numId="11" w16cid:durableId="72957220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A6"/>
    <w:rsid w:val="00010B7C"/>
    <w:rsid w:val="00017462"/>
    <w:rsid w:val="00032B00"/>
    <w:rsid w:val="000474E2"/>
    <w:rsid w:val="0006242D"/>
    <w:rsid w:val="000958C1"/>
    <w:rsid w:val="00095CEF"/>
    <w:rsid w:val="00100F03"/>
    <w:rsid w:val="00101241"/>
    <w:rsid w:val="00125F1B"/>
    <w:rsid w:val="001343EA"/>
    <w:rsid w:val="00135063"/>
    <w:rsid w:val="00153C79"/>
    <w:rsid w:val="001748B3"/>
    <w:rsid w:val="001A286D"/>
    <w:rsid w:val="001A5477"/>
    <w:rsid w:val="001A67F6"/>
    <w:rsid w:val="00253884"/>
    <w:rsid w:val="002723D9"/>
    <w:rsid w:val="002C5897"/>
    <w:rsid w:val="00346439"/>
    <w:rsid w:val="00373A8F"/>
    <w:rsid w:val="00374B8D"/>
    <w:rsid w:val="00391DA7"/>
    <w:rsid w:val="003A55DB"/>
    <w:rsid w:val="003A598D"/>
    <w:rsid w:val="003A675E"/>
    <w:rsid w:val="003B1145"/>
    <w:rsid w:val="003D6F4C"/>
    <w:rsid w:val="003F143F"/>
    <w:rsid w:val="003F2C7C"/>
    <w:rsid w:val="004032C6"/>
    <w:rsid w:val="00424A87"/>
    <w:rsid w:val="004556B4"/>
    <w:rsid w:val="00461E84"/>
    <w:rsid w:val="0047438F"/>
    <w:rsid w:val="00474C71"/>
    <w:rsid w:val="00481E73"/>
    <w:rsid w:val="004A2394"/>
    <w:rsid w:val="004B5EF5"/>
    <w:rsid w:val="004D08A8"/>
    <w:rsid w:val="00512A4C"/>
    <w:rsid w:val="005507E4"/>
    <w:rsid w:val="005573A3"/>
    <w:rsid w:val="00562905"/>
    <w:rsid w:val="005678E8"/>
    <w:rsid w:val="005703AF"/>
    <w:rsid w:val="005836C1"/>
    <w:rsid w:val="005F2A97"/>
    <w:rsid w:val="006034DD"/>
    <w:rsid w:val="00612FD0"/>
    <w:rsid w:val="006245E6"/>
    <w:rsid w:val="0064273D"/>
    <w:rsid w:val="00665310"/>
    <w:rsid w:val="006823BA"/>
    <w:rsid w:val="006A658A"/>
    <w:rsid w:val="006B3421"/>
    <w:rsid w:val="006B38E8"/>
    <w:rsid w:val="006C46FB"/>
    <w:rsid w:val="006E1BB6"/>
    <w:rsid w:val="006E1E80"/>
    <w:rsid w:val="006E464D"/>
    <w:rsid w:val="006E62D1"/>
    <w:rsid w:val="0071157F"/>
    <w:rsid w:val="00720787"/>
    <w:rsid w:val="007921A0"/>
    <w:rsid w:val="007C6505"/>
    <w:rsid w:val="007C7881"/>
    <w:rsid w:val="007E3C9D"/>
    <w:rsid w:val="007F0B30"/>
    <w:rsid w:val="008869C2"/>
    <w:rsid w:val="00892973"/>
    <w:rsid w:val="008952ED"/>
    <w:rsid w:val="008E4572"/>
    <w:rsid w:val="008E5C5D"/>
    <w:rsid w:val="00902F09"/>
    <w:rsid w:val="00914E57"/>
    <w:rsid w:val="00936FEE"/>
    <w:rsid w:val="0094799F"/>
    <w:rsid w:val="00990F7B"/>
    <w:rsid w:val="00992556"/>
    <w:rsid w:val="009B03AD"/>
    <w:rsid w:val="009B34E7"/>
    <w:rsid w:val="009F6075"/>
    <w:rsid w:val="00A14B6E"/>
    <w:rsid w:val="00A22DEE"/>
    <w:rsid w:val="00AB3E81"/>
    <w:rsid w:val="00AC455D"/>
    <w:rsid w:val="00AE1B76"/>
    <w:rsid w:val="00B358DF"/>
    <w:rsid w:val="00B44C50"/>
    <w:rsid w:val="00B56272"/>
    <w:rsid w:val="00B7157F"/>
    <w:rsid w:val="00B809C2"/>
    <w:rsid w:val="00BA635D"/>
    <w:rsid w:val="00BC01ED"/>
    <w:rsid w:val="00BD2388"/>
    <w:rsid w:val="00BE3ACD"/>
    <w:rsid w:val="00BE41DB"/>
    <w:rsid w:val="00BE73C3"/>
    <w:rsid w:val="00C22087"/>
    <w:rsid w:val="00C67ECB"/>
    <w:rsid w:val="00C90A3B"/>
    <w:rsid w:val="00CA56B4"/>
    <w:rsid w:val="00CC5D96"/>
    <w:rsid w:val="00CD2221"/>
    <w:rsid w:val="00CE73AE"/>
    <w:rsid w:val="00CF27F9"/>
    <w:rsid w:val="00CF2897"/>
    <w:rsid w:val="00D001E7"/>
    <w:rsid w:val="00D10658"/>
    <w:rsid w:val="00D352C8"/>
    <w:rsid w:val="00D45693"/>
    <w:rsid w:val="00D97BA6"/>
    <w:rsid w:val="00DB2AE0"/>
    <w:rsid w:val="00E25F6A"/>
    <w:rsid w:val="00E62287"/>
    <w:rsid w:val="00EB48BE"/>
    <w:rsid w:val="00EC1A10"/>
    <w:rsid w:val="00EC337C"/>
    <w:rsid w:val="00EC4055"/>
    <w:rsid w:val="00ED50C9"/>
    <w:rsid w:val="00EE13E9"/>
    <w:rsid w:val="00EE716C"/>
    <w:rsid w:val="00F018D6"/>
    <w:rsid w:val="00F44C91"/>
    <w:rsid w:val="00F74BB4"/>
    <w:rsid w:val="00F74DC2"/>
    <w:rsid w:val="00FA1DAD"/>
    <w:rsid w:val="00FB0866"/>
    <w:rsid w:val="00FB1B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37B7"/>
  <w15:chartTrackingRefBased/>
  <w15:docId w15:val="{9BDF875F-4584-2A4C-8D00-2911950D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8F"/>
    <w:rPr>
      <w:rFonts w:ascii="Helvetica" w:hAnsi="Helvetica"/>
      <w:lang w:val="en-GB"/>
    </w:rPr>
  </w:style>
  <w:style w:type="paragraph" w:styleId="Heading1">
    <w:name w:val="heading 1"/>
    <w:basedOn w:val="Normal"/>
    <w:next w:val="Normal"/>
    <w:link w:val="Heading1Char"/>
    <w:uiPriority w:val="9"/>
    <w:qFormat/>
    <w:rsid w:val="00373A8F"/>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3A8F"/>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73A8F"/>
    <w:pPr>
      <w:keepNext/>
      <w:keepLines/>
      <w:spacing w:before="12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373A8F"/>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ing">
    <w:name w:val="Act Heading"/>
    <w:basedOn w:val="Heading1"/>
    <w:qFormat/>
    <w:rsid w:val="00373A8F"/>
    <w:pPr>
      <w:spacing w:before="0"/>
      <w:jc w:val="center"/>
    </w:pPr>
    <w:rPr>
      <w:b w:val="0"/>
      <w:bCs/>
      <w:smallCaps/>
      <w:color w:val="auto"/>
      <w:sz w:val="28"/>
      <w:szCs w:val="28"/>
      <w:lang w:val="en-AU" w:eastAsia="zh-CN"/>
    </w:rPr>
  </w:style>
  <w:style w:type="character" w:customStyle="1" w:styleId="Heading1Char">
    <w:name w:val="Heading 1 Char"/>
    <w:basedOn w:val="DefaultParagraphFont"/>
    <w:link w:val="Heading1"/>
    <w:uiPriority w:val="9"/>
    <w:rsid w:val="00373A8F"/>
    <w:rPr>
      <w:rFonts w:ascii="Helvetica" w:eastAsiaTheme="majorEastAsia" w:hAnsi="Helvetica" w:cstheme="majorBidi"/>
      <w:b/>
      <w:color w:val="000000" w:themeColor="text1"/>
      <w:sz w:val="32"/>
      <w:szCs w:val="32"/>
      <w:lang w:val="en-GB"/>
    </w:rPr>
  </w:style>
  <w:style w:type="paragraph" w:customStyle="1" w:styleId="SectionHeading">
    <w:name w:val="Section Heading"/>
    <w:basedOn w:val="Normal"/>
    <w:next w:val="Heading2"/>
    <w:qFormat/>
    <w:rsid w:val="00F74BB4"/>
    <w:rPr>
      <w:b/>
      <w:lang w:val="en-AU"/>
    </w:rPr>
  </w:style>
  <w:style w:type="character" w:customStyle="1" w:styleId="Heading2Char">
    <w:name w:val="Heading 2 Char"/>
    <w:basedOn w:val="DefaultParagraphFont"/>
    <w:link w:val="Heading2"/>
    <w:uiPriority w:val="9"/>
    <w:rsid w:val="00373A8F"/>
    <w:rPr>
      <w:rFonts w:ascii="Helvetica" w:eastAsiaTheme="majorEastAsia" w:hAnsi="Helvetica" w:cstheme="majorBidi"/>
      <w:b/>
      <w:color w:val="000000" w:themeColor="text1"/>
      <w:sz w:val="26"/>
      <w:szCs w:val="26"/>
      <w:lang w:val="en-GB"/>
    </w:rPr>
  </w:style>
  <w:style w:type="table" w:styleId="TableGrid">
    <w:name w:val="Table Grid"/>
    <w:basedOn w:val="TableNormal"/>
    <w:uiPriority w:val="39"/>
    <w:rsid w:val="003D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F4C"/>
    <w:rPr>
      <w:color w:val="0563C1" w:themeColor="hyperlink"/>
      <w:u w:val="single"/>
    </w:rPr>
  </w:style>
  <w:style w:type="character" w:styleId="UnresolvedMention">
    <w:name w:val="Unresolved Mention"/>
    <w:basedOn w:val="DefaultParagraphFont"/>
    <w:uiPriority w:val="99"/>
    <w:semiHidden/>
    <w:unhideWhenUsed/>
    <w:rsid w:val="003D6F4C"/>
    <w:rPr>
      <w:color w:val="605E5C"/>
      <w:shd w:val="clear" w:color="auto" w:fill="E1DFDD"/>
    </w:rPr>
  </w:style>
  <w:style w:type="character" w:customStyle="1" w:styleId="Heading3Char">
    <w:name w:val="Heading 3 Char"/>
    <w:basedOn w:val="DefaultParagraphFont"/>
    <w:link w:val="Heading3"/>
    <w:uiPriority w:val="9"/>
    <w:rsid w:val="00373A8F"/>
    <w:rPr>
      <w:rFonts w:ascii="Helvetica" w:eastAsiaTheme="majorEastAsia" w:hAnsi="Helvetica" w:cstheme="majorBidi"/>
      <w:b/>
      <w:color w:val="000000" w:themeColor="text1"/>
      <w:lang w:val="en-GB"/>
    </w:rPr>
  </w:style>
  <w:style w:type="character" w:customStyle="1" w:styleId="Heading4Char">
    <w:name w:val="Heading 4 Char"/>
    <w:basedOn w:val="DefaultParagraphFont"/>
    <w:link w:val="Heading4"/>
    <w:uiPriority w:val="9"/>
    <w:rsid w:val="00373A8F"/>
    <w:rPr>
      <w:rFonts w:ascii="Helvetica" w:eastAsiaTheme="majorEastAsia" w:hAnsi="Helvetica" w:cstheme="majorBidi"/>
      <w:b/>
      <w:i/>
      <w:iCs/>
      <w:color w:val="000000" w:themeColor="text1"/>
      <w:lang w:val="en-GB"/>
    </w:rPr>
  </w:style>
  <w:style w:type="paragraph" w:styleId="ListParagraph">
    <w:name w:val="List Paragraph"/>
    <w:basedOn w:val="Normal"/>
    <w:uiPriority w:val="34"/>
    <w:qFormat/>
    <w:rsid w:val="00373A8F"/>
    <w:pPr>
      <w:ind w:left="720"/>
      <w:contextualSpacing/>
    </w:pPr>
  </w:style>
  <w:style w:type="character" w:styleId="CommentReference">
    <w:name w:val="annotation reference"/>
    <w:basedOn w:val="DefaultParagraphFont"/>
    <w:uiPriority w:val="99"/>
    <w:semiHidden/>
    <w:unhideWhenUsed/>
    <w:rsid w:val="00992556"/>
    <w:rPr>
      <w:sz w:val="16"/>
      <w:szCs w:val="16"/>
    </w:rPr>
  </w:style>
  <w:style w:type="paragraph" w:customStyle="1" w:styleId="Bullet1">
    <w:name w:val="Bullet1"/>
    <w:basedOn w:val="Normal"/>
    <w:qFormat/>
    <w:rsid w:val="00992556"/>
    <w:pPr>
      <w:numPr>
        <w:numId w:val="3"/>
      </w:numPr>
    </w:pPr>
  </w:style>
  <w:style w:type="paragraph" w:styleId="CommentText">
    <w:name w:val="annotation text"/>
    <w:basedOn w:val="Normal"/>
    <w:link w:val="CommentTextChar"/>
    <w:uiPriority w:val="99"/>
    <w:unhideWhenUsed/>
    <w:rsid w:val="00DB2AE0"/>
    <w:rPr>
      <w:sz w:val="20"/>
      <w:szCs w:val="20"/>
    </w:rPr>
  </w:style>
  <w:style w:type="character" w:customStyle="1" w:styleId="CommentTextChar">
    <w:name w:val="Comment Text Char"/>
    <w:basedOn w:val="DefaultParagraphFont"/>
    <w:link w:val="CommentText"/>
    <w:uiPriority w:val="99"/>
    <w:rsid w:val="00DB2AE0"/>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DB2AE0"/>
    <w:rPr>
      <w:b/>
      <w:bCs/>
    </w:rPr>
  </w:style>
  <w:style w:type="character" w:customStyle="1" w:styleId="CommentSubjectChar">
    <w:name w:val="Comment Subject Char"/>
    <w:basedOn w:val="CommentTextChar"/>
    <w:link w:val="CommentSubject"/>
    <w:uiPriority w:val="99"/>
    <w:semiHidden/>
    <w:rsid w:val="00DB2AE0"/>
    <w:rPr>
      <w:rFonts w:ascii="Helvetica" w:hAnsi="Helvetica"/>
      <w:b/>
      <w:bCs/>
      <w:sz w:val="20"/>
      <w:szCs w:val="20"/>
      <w:lang w:val="en-GB"/>
    </w:rPr>
  </w:style>
  <w:style w:type="paragraph" w:styleId="TOC1">
    <w:name w:val="toc 1"/>
    <w:basedOn w:val="Normal"/>
    <w:next w:val="Normal"/>
    <w:autoRedefine/>
    <w:uiPriority w:val="39"/>
    <w:unhideWhenUsed/>
    <w:rsid w:val="00253884"/>
    <w:pPr>
      <w:spacing w:after="100"/>
    </w:pPr>
  </w:style>
  <w:style w:type="paragraph" w:styleId="TOC2">
    <w:name w:val="toc 2"/>
    <w:basedOn w:val="Normal"/>
    <w:next w:val="Normal"/>
    <w:autoRedefine/>
    <w:uiPriority w:val="39"/>
    <w:unhideWhenUsed/>
    <w:rsid w:val="00253884"/>
    <w:pPr>
      <w:spacing w:after="100"/>
      <w:ind w:left="240"/>
    </w:pPr>
  </w:style>
  <w:style w:type="paragraph" w:styleId="TOC3">
    <w:name w:val="toc 3"/>
    <w:basedOn w:val="Normal"/>
    <w:next w:val="Normal"/>
    <w:autoRedefine/>
    <w:uiPriority w:val="39"/>
    <w:unhideWhenUsed/>
    <w:rsid w:val="00253884"/>
    <w:pPr>
      <w:spacing w:after="100"/>
      <w:ind w:left="480"/>
    </w:pPr>
  </w:style>
  <w:style w:type="paragraph" w:styleId="Footer">
    <w:name w:val="footer"/>
    <w:basedOn w:val="Normal"/>
    <w:link w:val="FooterChar"/>
    <w:uiPriority w:val="99"/>
    <w:unhideWhenUsed/>
    <w:rsid w:val="00FB0866"/>
    <w:pPr>
      <w:tabs>
        <w:tab w:val="center" w:pos="4513"/>
        <w:tab w:val="right" w:pos="9026"/>
      </w:tabs>
    </w:pPr>
  </w:style>
  <w:style w:type="character" w:customStyle="1" w:styleId="FooterChar">
    <w:name w:val="Footer Char"/>
    <w:basedOn w:val="DefaultParagraphFont"/>
    <w:link w:val="Footer"/>
    <w:uiPriority w:val="99"/>
    <w:rsid w:val="00FB0866"/>
    <w:rPr>
      <w:rFonts w:ascii="Helvetica" w:hAnsi="Helvetica"/>
      <w:lang w:val="en-GB"/>
    </w:rPr>
  </w:style>
  <w:style w:type="character" w:styleId="PageNumber">
    <w:name w:val="page number"/>
    <w:basedOn w:val="DefaultParagraphFont"/>
    <w:uiPriority w:val="99"/>
    <w:semiHidden/>
    <w:unhideWhenUsed/>
    <w:rsid w:val="00FB0866"/>
  </w:style>
  <w:style w:type="paragraph" w:styleId="Header">
    <w:name w:val="header"/>
    <w:basedOn w:val="Normal"/>
    <w:link w:val="HeaderChar"/>
    <w:uiPriority w:val="99"/>
    <w:unhideWhenUsed/>
    <w:rsid w:val="00FB0866"/>
    <w:pPr>
      <w:tabs>
        <w:tab w:val="center" w:pos="4513"/>
        <w:tab w:val="right" w:pos="9026"/>
      </w:tabs>
    </w:pPr>
  </w:style>
  <w:style w:type="character" w:customStyle="1" w:styleId="HeaderChar">
    <w:name w:val="Header Char"/>
    <w:basedOn w:val="DefaultParagraphFont"/>
    <w:link w:val="Header"/>
    <w:uiPriority w:val="99"/>
    <w:rsid w:val="00FB0866"/>
    <w:rPr>
      <w:rFonts w:ascii="Helvetica" w:hAnsi="Helvetica"/>
      <w:lang w:val="en-GB"/>
    </w:rPr>
  </w:style>
  <w:style w:type="character" w:styleId="FollowedHyperlink">
    <w:name w:val="FollowedHyperlink"/>
    <w:basedOn w:val="DefaultParagraphFont"/>
    <w:uiPriority w:val="99"/>
    <w:semiHidden/>
    <w:unhideWhenUsed/>
    <w:rsid w:val="00CC5D96"/>
    <w:rPr>
      <w:color w:val="954F72" w:themeColor="followedHyperlink"/>
      <w:u w:val="single"/>
    </w:rPr>
  </w:style>
  <w:style w:type="paragraph" w:styleId="Revision">
    <w:name w:val="Revision"/>
    <w:hidden/>
    <w:uiPriority w:val="99"/>
    <w:semiHidden/>
    <w:rsid w:val="00902F09"/>
    <w:rPr>
      <w:rFonts w:ascii="Helvetica" w:hAnsi="Helvetica"/>
      <w:lang w:val="en-GB"/>
    </w:rPr>
  </w:style>
  <w:style w:type="paragraph" w:styleId="TOC4">
    <w:name w:val="toc 4"/>
    <w:basedOn w:val="Normal"/>
    <w:next w:val="Normal"/>
    <w:autoRedefine/>
    <w:uiPriority w:val="39"/>
    <w:unhideWhenUsed/>
    <w:rsid w:val="00F018D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7870">
      <w:bodyDiv w:val="1"/>
      <w:marLeft w:val="0"/>
      <w:marRight w:val="0"/>
      <w:marTop w:val="0"/>
      <w:marBottom w:val="0"/>
      <w:divBdr>
        <w:top w:val="none" w:sz="0" w:space="0" w:color="auto"/>
        <w:left w:val="none" w:sz="0" w:space="0" w:color="auto"/>
        <w:bottom w:val="none" w:sz="0" w:space="0" w:color="auto"/>
        <w:right w:val="none" w:sz="0" w:space="0" w:color="auto"/>
      </w:divBdr>
    </w:div>
    <w:div w:id="393819667">
      <w:bodyDiv w:val="1"/>
      <w:marLeft w:val="0"/>
      <w:marRight w:val="0"/>
      <w:marTop w:val="0"/>
      <w:marBottom w:val="0"/>
      <w:divBdr>
        <w:top w:val="none" w:sz="0" w:space="0" w:color="auto"/>
        <w:left w:val="none" w:sz="0" w:space="0" w:color="auto"/>
        <w:bottom w:val="none" w:sz="0" w:space="0" w:color="auto"/>
        <w:right w:val="none" w:sz="0" w:space="0" w:color="auto"/>
      </w:divBdr>
    </w:div>
    <w:div w:id="489491914">
      <w:bodyDiv w:val="1"/>
      <w:marLeft w:val="0"/>
      <w:marRight w:val="0"/>
      <w:marTop w:val="0"/>
      <w:marBottom w:val="0"/>
      <w:divBdr>
        <w:top w:val="none" w:sz="0" w:space="0" w:color="auto"/>
        <w:left w:val="none" w:sz="0" w:space="0" w:color="auto"/>
        <w:bottom w:val="none" w:sz="0" w:space="0" w:color="auto"/>
        <w:right w:val="none" w:sz="0" w:space="0" w:color="auto"/>
      </w:divBdr>
    </w:div>
    <w:div w:id="628169329">
      <w:bodyDiv w:val="1"/>
      <w:marLeft w:val="0"/>
      <w:marRight w:val="0"/>
      <w:marTop w:val="0"/>
      <w:marBottom w:val="0"/>
      <w:divBdr>
        <w:top w:val="none" w:sz="0" w:space="0" w:color="auto"/>
        <w:left w:val="none" w:sz="0" w:space="0" w:color="auto"/>
        <w:bottom w:val="none" w:sz="0" w:space="0" w:color="auto"/>
        <w:right w:val="none" w:sz="0" w:space="0" w:color="auto"/>
      </w:divBdr>
    </w:div>
    <w:div w:id="679239697">
      <w:bodyDiv w:val="1"/>
      <w:marLeft w:val="0"/>
      <w:marRight w:val="0"/>
      <w:marTop w:val="0"/>
      <w:marBottom w:val="0"/>
      <w:divBdr>
        <w:top w:val="none" w:sz="0" w:space="0" w:color="auto"/>
        <w:left w:val="none" w:sz="0" w:space="0" w:color="auto"/>
        <w:bottom w:val="none" w:sz="0" w:space="0" w:color="auto"/>
        <w:right w:val="none" w:sz="0" w:space="0" w:color="auto"/>
      </w:divBdr>
    </w:div>
    <w:div w:id="748964061">
      <w:bodyDiv w:val="1"/>
      <w:marLeft w:val="0"/>
      <w:marRight w:val="0"/>
      <w:marTop w:val="0"/>
      <w:marBottom w:val="0"/>
      <w:divBdr>
        <w:top w:val="none" w:sz="0" w:space="0" w:color="auto"/>
        <w:left w:val="none" w:sz="0" w:space="0" w:color="auto"/>
        <w:bottom w:val="none" w:sz="0" w:space="0" w:color="auto"/>
        <w:right w:val="none" w:sz="0" w:space="0" w:color="auto"/>
      </w:divBdr>
    </w:div>
    <w:div w:id="1401564631">
      <w:bodyDiv w:val="1"/>
      <w:marLeft w:val="0"/>
      <w:marRight w:val="0"/>
      <w:marTop w:val="0"/>
      <w:marBottom w:val="0"/>
      <w:divBdr>
        <w:top w:val="none" w:sz="0" w:space="0" w:color="auto"/>
        <w:left w:val="none" w:sz="0" w:space="0" w:color="auto"/>
        <w:bottom w:val="none" w:sz="0" w:space="0" w:color="auto"/>
        <w:right w:val="none" w:sz="0" w:space="0" w:color="auto"/>
      </w:divBdr>
    </w:div>
    <w:div w:id="1613589155">
      <w:bodyDiv w:val="1"/>
      <w:marLeft w:val="0"/>
      <w:marRight w:val="0"/>
      <w:marTop w:val="0"/>
      <w:marBottom w:val="0"/>
      <w:divBdr>
        <w:top w:val="none" w:sz="0" w:space="0" w:color="auto"/>
        <w:left w:val="none" w:sz="0" w:space="0" w:color="auto"/>
        <w:bottom w:val="none" w:sz="0" w:space="0" w:color="auto"/>
        <w:right w:val="none" w:sz="0" w:space="0" w:color="auto"/>
      </w:divBdr>
    </w:div>
    <w:div w:id="1672414067">
      <w:bodyDiv w:val="1"/>
      <w:marLeft w:val="0"/>
      <w:marRight w:val="0"/>
      <w:marTop w:val="0"/>
      <w:marBottom w:val="0"/>
      <w:divBdr>
        <w:top w:val="none" w:sz="0" w:space="0" w:color="auto"/>
        <w:left w:val="none" w:sz="0" w:space="0" w:color="auto"/>
        <w:bottom w:val="none" w:sz="0" w:space="0" w:color="auto"/>
        <w:right w:val="none" w:sz="0" w:space="0" w:color="auto"/>
      </w:divBdr>
    </w:div>
    <w:div w:id="1677001290">
      <w:bodyDiv w:val="1"/>
      <w:marLeft w:val="0"/>
      <w:marRight w:val="0"/>
      <w:marTop w:val="0"/>
      <w:marBottom w:val="0"/>
      <w:divBdr>
        <w:top w:val="none" w:sz="0" w:space="0" w:color="auto"/>
        <w:left w:val="none" w:sz="0" w:space="0" w:color="auto"/>
        <w:bottom w:val="none" w:sz="0" w:space="0" w:color="auto"/>
        <w:right w:val="none" w:sz="0" w:space="0" w:color="auto"/>
      </w:divBdr>
    </w:div>
    <w:div w:id="1728529027">
      <w:bodyDiv w:val="1"/>
      <w:marLeft w:val="0"/>
      <w:marRight w:val="0"/>
      <w:marTop w:val="0"/>
      <w:marBottom w:val="0"/>
      <w:divBdr>
        <w:top w:val="none" w:sz="0" w:space="0" w:color="auto"/>
        <w:left w:val="none" w:sz="0" w:space="0" w:color="auto"/>
        <w:bottom w:val="none" w:sz="0" w:space="0" w:color="auto"/>
        <w:right w:val="none" w:sz="0" w:space="0" w:color="auto"/>
      </w:divBdr>
    </w:div>
    <w:div w:id="1983537064">
      <w:bodyDiv w:val="1"/>
      <w:marLeft w:val="0"/>
      <w:marRight w:val="0"/>
      <w:marTop w:val="0"/>
      <w:marBottom w:val="0"/>
      <w:divBdr>
        <w:top w:val="none" w:sz="0" w:space="0" w:color="auto"/>
        <w:left w:val="none" w:sz="0" w:space="0" w:color="auto"/>
        <w:bottom w:val="none" w:sz="0" w:space="0" w:color="auto"/>
        <w:right w:val="none" w:sz="0" w:space="0" w:color="auto"/>
      </w:divBdr>
    </w:div>
    <w:div w:id="1985887855">
      <w:bodyDiv w:val="1"/>
      <w:marLeft w:val="0"/>
      <w:marRight w:val="0"/>
      <w:marTop w:val="0"/>
      <w:marBottom w:val="0"/>
      <w:divBdr>
        <w:top w:val="none" w:sz="0" w:space="0" w:color="auto"/>
        <w:left w:val="none" w:sz="0" w:space="0" w:color="auto"/>
        <w:bottom w:val="none" w:sz="0" w:space="0" w:color="auto"/>
        <w:right w:val="none" w:sz="0" w:space="0" w:color="auto"/>
      </w:divBdr>
    </w:div>
    <w:div w:id="21265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park.co.nz/" TargetMode="External"/><Relationship Id="rId13" Type="http://schemas.openxmlformats.org/officeDocument/2006/relationships/hyperlink" Target="https://www.hqsc.govt.nz/our-work/leadership-and-capability/kaiawhina-workforce/health-literacy-equity-cultural-safety-and-competence/" TargetMode="External"/><Relationship Id="rId18" Type="http://schemas.openxmlformats.org/officeDocument/2006/relationships/hyperlink" Target="https://cedi.unc.edu/dl-toolkit-disabilityident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eewritehear.com/learn/what-is-accessibility/" TargetMode="External"/><Relationship Id="rId17" Type="http://schemas.openxmlformats.org/officeDocument/2006/relationships/hyperlink" Target="https://www.odi.govt.nz/disability-toolkit/things-you-should-know-definitions-concepts-and-approaches/" TargetMode="External"/><Relationship Id="rId2" Type="http://schemas.openxmlformats.org/officeDocument/2006/relationships/styles" Target="styles.xml"/><Relationship Id="rId16" Type="http://schemas.openxmlformats.org/officeDocument/2006/relationships/hyperlink" Target="https://universaldesign.ie/what-is-universal-desig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philanthropy.org/resource/what-is-ableism/" TargetMode="External"/><Relationship Id="rId5" Type="http://schemas.openxmlformats.org/officeDocument/2006/relationships/footnotes" Target="footnotes.xml"/><Relationship Id="rId15" Type="http://schemas.openxmlformats.org/officeDocument/2006/relationships/hyperlink" Target="https://www.odi.govt.nz/disability-toolkit/things-you-should-know-definitions-concepts-and-approaches/" TargetMode="External"/><Relationship Id="rId10" Type="http://schemas.openxmlformats.org/officeDocument/2006/relationships/hyperlink" Target="https://www.un.org/development/desa/disabilities/convention-on-the-rights-of-persons-with-disabilitie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di.govt.nz/nz-disability-strategy/" TargetMode="External"/><Relationship Id="rId14" Type="http://schemas.openxmlformats.org/officeDocument/2006/relationships/hyperlink" Target="https://idrc.ocadu.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Duncan</dc:creator>
  <cp:keywords/>
  <dc:description/>
  <cp:lastModifiedBy>Emily Duncan</cp:lastModifiedBy>
  <cp:revision>3</cp:revision>
  <dcterms:created xsi:type="dcterms:W3CDTF">2023-02-10T01:35:00Z</dcterms:created>
  <dcterms:modified xsi:type="dcterms:W3CDTF">2023-02-10T02:18:00Z</dcterms:modified>
</cp:coreProperties>
</file>